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2B24EBA4" w:rsidR="002342D6" w:rsidRPr="005E5FC0" w:rsidRDefault="00561C14" w:rsidP="002342D6">
      <w:pPr>
        <w:pStyle w:val="HeadingEULA"/>
        <w:spacing w:before="0" w:after="160"/>
        <w:ind w:left="0"/>
      </w:pPr>
      <w:r w:rsidRPr="005E5FC0">
        <w:t>LICENČNÍ PODMÍNKY PRO PŘEDBĚŽNOU VERZI SOFTWARU</w:t>
      </w:r>
    </w:p>
    <w:p w14:paraId="320D2EE7" w14:textId="009CB226" w:rsidR="00073C7B" w:rsidRPr="005E5FC0" w:rsidRDefault="00561C14" w:rsidP="002342D6">
      <w:pPr>
        <w:pStyle w:val="HeadingEULA"/>
        <w:spacing w:before="0" w:after="160"/>
        <w:ind w:left="0"/>
      </w:pPr>
      <w:r w:rsidRPr="005E5FC0">
        <w:t>PŘEDBĚŽNÁ VERZE SOFTWARU PRO SKUPINU PRODUKTŮ MICROSOFT VISUAL STUDIO 2017</w:t>
      </w:r>
    </w:p>
    <w:p w14:paraId="3ECD3434" w14:textId="275EF870" w:rsidR="00561C14" w:rsidRPr="005E5FC0" w:rsidRDefault="00561C14" w:rsidP="002342D6">
      <w:pPr>
        <w:pStyle w:val="Preamble"/>
        <w:spacing w:before="0" w:after="160"/>
        <w:ind w:left="0"/>
        <w:rPr>
          <w:b w:val="0"/>
        </w:rPr>
      </w:pPr>
      <w:r w:rsidRPr="005E5FC0">
        <w:rPr>
          <w:b w:val="0"/>
        </w:rPr>
        <w:t>Tyto licenční podmínky představují smlouvu mezi vámi a společností Microsoft Corporation (nebo některou z jejích afilací v závislosti na tom, kde bydlíte). Vztahují se na výše uvedenou předběžnou verzi softwaru. Podmínky se rovněž vztahují na jakékoli služby Microsoft nebo aktualizace pro software, pokud se na služby nebo aktualizace nevztahují dodatečné podmínky.</w:t>
      </w:r>
    </w:p>
    <w:p w14:paraId="61587206" w14:textId="30A64C9C" w:rsidR="00561C14" w:rsidRPr="005E5FC0" w:rsidRDefault="008640F1" w:rsidP="002342D6">
      <w:pPr>
        <w:pStyle w:val="PreambleBorderAbove"/>
        <w:spacing w:before="0" w:after="160"/>
        <w:ind w:left="0"/>
      </w:pPr>
      <w:r w:rsidRPr="005E5FC0">
        <w:t>DODRŽÍTE-LI TYTO LICENČNÍ PODMÍNKY, MÁTE NÁSLEDUJÍCÍ PRÁVA</w:t>
      </w:r>
      <w:r w:rsidR="008A67C4" w:rsidRPr="005E5FC0">
        <w:t>:</w:t>
      </w:r>
    </w:p>
    <w:p w14:paraId="191B46CB" w14:textId="76D5CDF7" w:rsidR="00561C14" w:rsidRPr="005E5FC0" w:rsidRDefault="00561C14" w:rsidP="002342D6">
      <w:pPr>
        <w:pStyle w:val="Heading1"/>
        <w:tabs>
          <w:tab w:val="clear" w:pos="450"/>
          <w:tab w:val="num" w:pos="360"/>
        </w:tabs>
        <w:spacing w:before="0" w:after="160"/>
        <w:ind w:left="360" w:hanging="360"/>
      </w:pPr>
      <w:r w:rsidRPr="005E5FC0">
        <w:t xml:space="preserve">PRÁVA K UŽÍVÁNÍ A INSTALACI </w:t>
      </w:r>
    </w:p>
    <w:p w14:paraId="4677A1D4" w14:textId="3657C467" w:rsidR="00561C14" w:rsidRPr="005E5FC0" w:rsidRDefault="00561C14" w:rsidP="004446EF">
      <w:pPr>
        <w:pStyle w:val="CommentText"/>
        <w:numPr>
          <w:ilvl w:val="0"/>
          <w:numId w:val="38"/>
        </w:numPr>
        <w:rPr>
          <w:spacing w:val="-2"/>
          <w:sz w:val="19"/>
          <w:szCs w:val="19"/>
        </w:rPr>
      </w:pPr>
      <w:r w:rsidRPr="005E5FC0">
        <w:rPr>
          <w:spacing w:val="-2"/>
          <w:sz w:val="19"/>
          <w:szCs w:val="19"/>
        </w:rPr>
        <w:t>Pro účely testování smíte instalovat a užívat libovolný počet kopií softwaru na vašich vlastních zařízeních. Pokud používáte software v systému Microsoft Azure, mohou platit další poplatky a podmínky.</w:t>
      </w:r>
    </w:p>
    <w:p w14:paraId="768811D0" w14:textId="77777777" w:rsidR="00145590" w:rsidRPr="005E5FC0" w:rsidRDefault="00145590" w:rsidP="002342D6">
      <w:pPr>
        <w:pStyle w:val="Bullet3"/>
        <w:tabs>
          <w:tab w:val="clear" w:pos="1080"/>
          <w:tab w:val="num" w:pos="720"/>
        </w:tabs>
        <w:spacing w:before="0" w:after="160"/>
        <w:ind w:left="720" w:hanging="360"/>
        <w:rPr>
          <w:rFonts w:eastAsia="SimSun"/>
        </w:rPr>
      </w:pPr>
      <w:r w:rsidRPr="005E5FC0">
        <w:t>Společně se softwarem nesmíte distribuovat žádné aplikace, které vyvíjíte, s výjimkou interního nasazení vašich aplikací výhradně pro účely testování technologií nasazení obsažených v softwaru</w:t>
      </w:r>
      <w:r w:rsidRPr="005E5FC0">
        <w:rPr>
          <w:rFonts w:eastAsia="SimSun"/>
        </w:rPr>
        <w:t>.</w:t>
      </w:r>
    </w:p>
    <w:p w14:paraId="5D20438F" w14:textId="77777777" w:rsidR="00C41708" w:rsidRPr="005E5FC0" w:rsidRDefault="00C41708" w:rsidP="002342D6">
      <w:pPr>
        <w:pStyle w:val="Bullet3"/>
        <w:tabs>
          <w:tab w:val="clear" w:pos="1080"/>
          <w:tab w:val="num" w:pos="720"/>
        </w:tabs>
        <w:spacing w:before="0" w:after="160"/>
        <w:ind w:left="720" w:hanging="360"/>
        <w:rPr>
          <w:rFonts w:eastAsia="SimSun"/>
        </w:rPr>
      </w:pPr>
      <w:r w:rsidRPr="005E5FC0">
        <w:t>Nesmíte software testovat v živém operačním prostředí, pokud vám k tomu společnost Microsoft neposkytla souhlas v rámci jiné smlouvy.</w:t>
      </w:r>
    </w:p>
    <w:p w14:paraId="39CCAD7A" w14:textId="034B8002" w:rsidR="0089566E" w:rsidRPr="005E5FC0" w:rsidRDefault="008640F1" w:rsidP="002342D6">
      <w:pPr>
        <w:pStyle w:val="Heading1"/>
        <w:tabs>
          <w:tab w:val="clear" w:pos="450"/>
          <w:tab w:val="num" w:pos="360"/>
        </w:tabs>
        <w:spacing w:before="0" w:after="160"/>
        <w:ind w:left="360" w:hanging="360"/>
        <w:rPr>
          <w:rFonts w:eastAsia="SimSun"/>
        </w:rPr>
      </w:pPr>
      <w:r w:rsidRPr="005E5FC0">
        <w:t>PODMÍNKY PRO SPECIFICKÉ SOUČÁSTI</w:t>
      </w:r>
    </w:p>
    <w:p w14:paraId="7C27E3B4" w14:textId="0C21F328" w:rsidR="007B3889" w:rsidRPr="005E5FC0" w:rsidRDefault="007B3889" w:rsidP="002342D6">
      <w:pPr>
        <w:pStyle w:val="ListParagraph"/>
        <w:numPr>
          <w:ilvl w:val="0"/>
          <w:numId w:val="12"/>
        </w:numPr>
        <w:spacing w:after="160"/>
        <w:ind w:left="720"/>
        <w:rPr>
          <w:rFonts w:ascii="Tahoma" w:hAnsi="Tahoma" w:cs="Tahoma"/>
          <w:bCs/>
          <w:sz w:val="19"/>
          <w:szCs w:val="19"/>
        </w:rPr>
      </w:pPr>
      <w:r w:rsidRPr="005E5FC0">
        <w:rPr>
          <w:rFonts w:ascii="Tahoma" w:hAnsi="Tahoma" w:cs="Tahoma"/>
          <w:b/>
          <w:sz w:val="19"/>
          <w:szCs w:val="19"/>
        </w:rPr>
        <w:t>Oddělitelnost součástí; úlohy.</w:t>
      </w:r>
      <w:r w:rsidRPr="005E5FC0">
        <w:rPr>
          <w:rFonts w:ascii="Tahoma" w:hAnsi="Tahoma" w:cs="Tahoma"/>
          <w:sz w:val="19"/>
          <w:szCs w:val="19"/>
        </w:rPr>
        <w:t xml:space="preserve"> Není-li v této smlouvě uvedeno jinak, (i) komponenty softwaru jsou licencovány jako jediná jednotka a (ii) nelze je vzájemně oddělovat a instalovat v různých zařízeních. Tato smlouva platí pro vaše užívání úloh zpřístupněných v rámci softwaru, kromě úloh nebo jejich součástí, pro které platí jiné podmínky.</w:t>
      </w:r>
    </w:p>
    <w:p w14:paraId="4C406145" w14:textId="14775395" w:rsidR="00894F25" w:rsidRPr="005B666A" w:rsidRDefault="00894F25" w:rsidP="002342D6">
      <w:pPr>
        <w:pStyle w:val="ListParagraph"/>
        <w:numPr>
          <w:ilvl w:val="0"/>
          <w:numId w:val="12"/>
        </w:numPr>
        <w:spacing w:after="160"/>
        <w:ind w:left="720"/>
        <w:rPr>
          <w:rFonts w:ascii="Tahoma" w:hAnsi="Tahoma" w:cs="Tahoma"/>
          <w:sz w:val="19"/>
          <w:szCs w:val="19"/>
        </w:rPr>
      </w:pPr>
      <w:r w:rsidRPr="005B666A">
        <w:rPr>
          <w:rFonts w:ascii="Tahoma" w:hAnsi="Tahoma" w:cs="Tahoma"/>
          <w:b/>
          <w:sz w:val="19"/>
          <w:szCs w:val="19"/>
        </w:rPr>
        <w:t>Nástroje.</w:t>
      </w:r>
      <w:r w:rsidRPr="005B666A">
        <w:rPr>
          <w:rFonts w:ascii="Tahoma" w:hAnsi="Tahoma" w:cs="Tahoma"/>
          <w:sz w:val="19"/>
          <w:szCs w:val="19"/>
        </w:rPr>
        <w:t xml:space="preserve"> Software obsahuje položky uvedené na seznamu nástrojů na adrese </w:t>
      </w:r>
      <w:hyperlink r:id="rId8" w:history="1">
        <w:r w:rsidRPr="005B666A">
          <w:rPr>
            <w:rStyle w:val="Hyperlink"/>
            <w:rFonts w:ascii="Tahoma" w:hAnsi="Tahoma" w:cs="Tahoma"/>
            <w:sz w:val="19"/>
            <w:szCs w:val="19"/>
          </w:rPr>
          <w:t>https://go.microsoft.com/fwlink/?linkid=823097</w:t>
        </w:r>
      </w:hyperlink>
      <w:r w:rsidRPr="005B666A">
        <w:rPr>
          <w:rFonts w:ascii="Tahoma" w:hAnsi="Tahoma" w:cs="Tahoma"/>
          <w:sz w:val="19"/>
          <w:szCs w:val="19"/>
        </w:rPr>
        <w:t xml:space="preserve">. Jsou-li zahrnuté v softwaru, smíte tyto položky kopírovat a instalovat do vašich zařízení pro účely ladění a interního nasazování aplikací, které pomocí tohoto softwaru vyvinete. Upozorňujeme, že nástroje jsou určeny k dočasnému užití, společnost Microsoft nemusí být schopna nástroje opravovat nebo aktualizovat odděleně od zbytku softwaru a že některé nástroje mohou v důsledku své povahy umožnit přístup k zařízením, na kterých jsou nainstalovány, jiným uživatelům. </w:t>
      </w:r>
      <w:r w:rsidR="0038180E" w:rsidRPr="005B666A">
        <w:rPr>
          <w:rFonts w:ascii="Tahoma" w:hAnsi="Tahoma" w:cs="Tahoma"/>
          <w:sz w:val="19"/>
          <w:szCs w:val="19"/>
        </w:rPr>
        <w:t> S ohledem na tuto skutečnost</w:t>
      </w:r>
      <w:r w:rsidRPr="005B666A">
        <w:rPr>
          <w:rFonts w:ascii="Tahoma" w:hAnsi="Tahoma" w:cs="Tahoma"/>
          <w:sz w:val="19"/>
          <w:szCs w:val="19"/>
        </w:rPr>
        <w:t xml:space="preserve"> byste po dokončení ladění nebo interního nasazení svých aplikací měli odstranit všechny nainstalované nástroje. Společnost Microsoft neodpovídá za užívání nástrojů, které na zařízení instalujete, ani za přístup k nim žádnou třetí stranou.</w:t>
      </w:r>
    </w:p>
    <w:p w14:paraId="5CE06463" w14:textId="49677251" w:rsidR="00894F25" w:rsidRPr="005E5FC0" w:rsidRDefault="00894F25" w:rsidP="002342D6">
      <w:pPr>
        <w:pStyle w:val="ListParagraph"/>
        <w:numPr>
          <w:ilvl w:val="0"/>
          <w:numId w:val="12"/>
        </w:numPr>
        <w:spacing w:after="160"/>
        <w:ind w:left="720"/>
        <w:rPr>
          <w:rFonts w:ascii="Tahoma" w:hAnsi="Tahoma" w:cs="Tahoma"/>
          <w:spacing w:val="-2"/>
          <w:sz w:val="19"/>
          <w:szCs w:val="19"/>
        </w:rPr>
      </w:pPr>
      <w:r w:rsidRPr="005E5FC0">
        <w:rPr>
          <w:rFonts w:ascii="Tahoma" w:hAnsi="Tahoma" w:cs="Tahoma"/>
          <w:b/>
          <w:spacing w:val="-2"/>
          <w:sz w:val="19"/>
          <w:szCs w:val="19"/>
        </w:rPr>
        <w:t>Server sestavení.</w:t>
      </w:r>
      <w:r w:rsidRPr="005E5FC0">
        <w:rPr>
          <w:rFonts w:ascii="Tahoma" w:hAnsi="Tahoma" w:cs="Tahoma"/>
          <w:spacing w:val="-2"/>
          <w:sz w:val="19"/>
          <w:szCs w:val="19"/>
        </w:rPr>
        <w:t xml:space="preserve"> Software obsahuje soubory uvedené na seznamu sestavovacích serverů na adrese </w:t>
      </w:r>
      <w:hyperlink r:id="rId9" w:history="1">
        <w:r w:rsidRPr="005E5FC0">
          <w:rPr>
            <w:rStyle w:val="Hyperlink"/>
            <w:rFonts w:ascii="Tahoma" w:hAnsi="Tahoma" w:cs="Tahoma"/>
            <w:spacing w:val="-2"/>
            <w:sz w:val="19"/>
            <w:szCs w:val="19"/>
          </w:rPr>
          <w:t>https://go.microsoft.com/fwlink/?linkid=823097</w:t>
        </w:r>
      </w:hyperlink>
      <w:r w:rsidRPr="005E5FC0">
        <w:rPr>
          <w:rFonts w:ascii="Tahoma" w:hAnsi="Tahoma" w:cs="Tahoma"/>
          <w:spacing w:val="-2"/>
          <w:sz w:val="19"/>
          <w:szCs w:val="19"/>
        </w:rPr>
        <w:t xml:space="preserve">. Jsou-li zahrnuté v softwaru, smíte tyto soubory sestavovacího serveru kopírovat a instalovat do sestavovacích zařízení. Vy a další uživatelé ve vaší organizaci můžete tyto soubory používat ve vašich sestavovacích zařízeních pouze pro účely kompilování, sestavování a ověřování vašich aplikací nebo provádění kvalitativních nebo výkonnostních testů v rámci procesu sestavování. </w:t>
      </w:r>
    </w:p>
    <w:p w14:paraId="21576E0C" w14:textId="38018E8A" w:rsidR="007B3889" w:rsidRPr="005E5FC0" w:rsidRDefault="007B3889" w:rsidP="002342D6">
      <w:pPr>
        <w:pStyle w:val="ListParagraph"/>
        <w:numPr>
          <w:ilvl w:val="0"/>
          <w:numId w:val="12"/>
        </w:numPr>
        <w:spacing w:after="160"/>
        <w:ind w:left="720"/>
        <w:rPr>
          <w:rFonts w:ascii="Tahoma" w:hAnsi="Tahoma" w:cs="Tahoma"/>
          <w:bCs/>
          <w:sz w:val="19"/>
          <w:szCs w:val="19"/>
        </w:rPr>
      </w:pPr>
      <w:r w:rsidRPr="005E5FC0">
        <w:rPr>
          <w:rFonts w:ascii="Tahoma" w:hAnsi="Tahoma" w:cs="Tahoma"/>
          <w:b/>
          <w:sz w:val="19"/>
          <w:szCs w:val="19"/>
        </w:rPr>
        <w:t>Písma.</w:t>
      </w:r>
      <w:r w:rsidRPr="005E5FC0">
        <w:rPr>
          <w:rFonts w:ascii="Tahoma" w:hAnsi="Tahoma" w:cs="Tahoma"/>
          <w:sz w:val="19"/>
          <w:szCs w:val="19"/>
        </w:rPr>
        <w:t xml:space="preserve"> Pokud je software spuštěný, smíte používat jeho písma k zobrazení a tisku obsahu. Smíte pouze: (i) vkládat písma do obsahu pouze za splnění omezujících podmínek pro vkládání písem a (ii) dočasně stáhnout písma do tiskárny nebo jiných výstupních zařízení za účelem tisku obsahu.</w:t>
      </w:r>
    </w:p>
    <w:p w14:paraId="32258D5D" w14:textId="40CE3F3D" w:rsidR="00F77B4C" w:rsidRPr="005E5FC0" w:rsidRDefault="00667F7B" w:rsidP="002342D6">
      <w:pPr>
        <w:pStyle w:val="ListParagraph"/>
        <w:numPr>
          <w:ilvl w:val="0"/>
          <w:numId w:val="12"/>
        </w:numPr>
        <w:spacing w:after="160"/>
        <w:ind w:left="720"/>
        <w:rPr>
          <w:rFonts w:ascii="Tahoma" w:hAnsi="Tahoma" w:cs="Tahoma"/>
          <w:b/>
          <w:sz w:val="19"/>
          <w:szCs w:val="19"/>
        </w:rPr>
      </w:pPr>
      <w:r w:rsidRPr="005E5FC0">
        <w:rPr>
          <w:rFonts w:ascii="Tahoma" w:hAnsi="Tahoma" w:cs="Tahoma"/>
          <w:b/>
          <w:sz w:val="19"/>
          <w:szCs w:val="19"/>
        </w:rPr>
        <w:t>Licence pro další součásti</w:t>
      </w:r>
    </w:p>
    <w:p w14:paraId="65ACFBCE" w14:textId="17FACE02" w:rsidR="0089566E" w:rsidRPr="005E5FC0" w:rsidRDefault="0089566E" w:rsidP="000012DE">
      <w:pPr>
        <w:pStyle w:val="Bullet3"/>
        <w:numPr>
          <w:ilvl w:val="0"/>
          <w:numId w:val="33"/>
        </w:numPr>
        <w:spacing w:before="0" w:after="160"/>
        <w:ind w:left="1080"/>
      </w:pPr>
      <w:r w:rsidRPr="005E5FC0">
        <w:rPr>
          <w:b/>
        </w:rPr>
        <w:t xml:space="preserve">Platformy společnosti Microsoft. </w:t>
      </w:r>
      <w:r w:rsidRPr="005E5FC0">
        <w:t>Software může obsahovat součásti z platforem Microsoft Windows; Microsoft Windows Server; Microsoft SQL Server; Microsoft Exchange, Microsoft Office a Microsoft SharePoint. Užívání těchto komponent se řídí samostatnými smlouvami a jejich vlastními zásadami produktové podpory popsanými ve složce „Licenses</w:t>
      </w:r>
      <w:r w:rsidR="000012DE" w:rsidRPr="005E5FC0">
        <w:t>“</w:t>
      </w:r>
      <w:r w:rsidRPr="005E5FC0">
        <w:t xml:space="preserve"> (licence) společnosti Microsoft umístěné u softwaru, s výjimkou případů, kdy jsou licenční podmínky pro tyto komponenty umístěné také v přidruženém instalačním adresáři, kdy platí tyto licenční podmínky. </w:t>
      </w:r>
    </w:p>
    <w:p w14:paraId="6AB693C0" w14:textId="08AB2A77" w:rsidR="000632D9" w:rsidRPr="005E5FC0" w:rsidRDefault="00667F7B" w:rsidP="002342D6">
      <w:pPr>
        <w:pStyle w:val="ListParagraph"/>
        <w:numPr>
          <w:ilvl w:val="0"/>
          <w:numId w:val="33"/>
        </w:numPr>
        <w:spacing w:after="160"/>
        <w:ind w:left="1080"/>
        <w:rPr>
          <w:rFonts w:ascii="Tahoma" w:hAnsi="Tahoma" w:cs="Tahoma"/>
          <w:color w:val="000000"/>
          <w:sz w:val="19"/>
          <w:szCs w:val="19"/>
        </w:rPr>
      </w:pPr>
      <w:r w:rsidRPr="005E5FC0">
        <w:rPr>
          <w:rFonts w:ascii="Tahoma" w:hAnsi="Tahoma" w:cs="Tahoma"/>
          <w:b/>
          <w:sz w:val="19"/>
          <w:szCs w:val="19"/>
        </w:rPr>
        <w:lastRenderedPageBreak/>
        <w:t xml:space="preserve">Vývojářské prostředky. </w:t>
      </w:r>
      <w:r w:rsidRPr="005E5FC0">
        <w:rPr>
          <w:rFonts w:ascii="Tahoma" w:hAnsi="Tahoma" w:cs="Tahoma"/>
          <w:sz w:val="19"/>
          <w:szCs w:val="19"/>
        </w:rPr>
        <w:t xml:space="preserve">Software zahrnuje kompilátory, jazyky, moduly runtime, prostředí a jiné prostředky. Na tyto komponenty se mohou vztahovat samostatné smlouvy a jejich vlastní zásady produktové podpory. Seznam těchto ostatních komponent je umístěn na adrese </w:t>
      </w:r>
      <w:hyperlink r:id="rId10" w:history="1">
        <w:r w:rsidRPr="005E5FC0">
          <w:rPr>
            <w:rStyle w:val="Hyperlink"/>
            <w:rFonts w:ascii="Tahoma" w:hAnsi="Tahoma" w:cs="Tahoma"/>
            <w:sz w:val="19"/>
            <w:szCs w:val="19"/>
          </w:rPr>
          <w:t>https://support.microsoft.com</w:t>
        </w:r>
      </w:hyperlink>
      <w:r w:rsidRPr="005E5FC0">
        <w:rPr>
          <w:rFonts w:ascii="Tahoma" w:hAnsi="Tahoma" w:cs="Tahoma"/>
          <w:sz w:val="19"/>
          <w:szCs w:val="19"/>
        </w:rPr>
        <w:t>.</w:t>
      </w:r>
    </w:p>
    <w:p w14:paraId="42BC73A8" w14:textId="6004E9A7" w:rsidR="00894F25" w:rsidRPr="005E5FC0" w:rsidRDefault="00A26A74" w:rsidP="002342D6">
      <w:pPr>
        <w:pStyle w:val="ListParagraph"/>
        <w:numPr>
          <w:ilvl w:val="0"/>
          <w:numId w:val="33"/>
        </w:numPr>
        <w:spacing w:after="160"/>
        <w:ind w:left="1080"/>
        <w:rPr>
          <w:rFonts w:ascii="Tahoma" w:hAnsi="Tahoma" w:cs="Tahoma"/>
          <w:color w:val="000000"/>
          <w:sz w:val="19"/>
          <w:szCs w:val="19"/>
        </w:rPr>
      </w:pPr>
      <w:r w:rsidRPr="005E5FC0">
        <w:rPr>
          <w:rFonts w:ascii="Tahoma" w:hAnsi="Tahoma" w:cs="Tahoma"/>
          <w:b/>
          <w:bCs/>
          <w:sz w:val="19"/>
          <w:szCs w:val="19"/>
        </w:rPr>
        <w:t xml:space="preserve">Komponenty třetích stran. </w:t>
      </w:r>
      <w:r w:rsidRPr="005E5FC0">
        <w:rPr>
          <w:rFonts w:ascii="Tahoma" w:hAnsi="Tahoma" w:cs="Tahoma"/>
          <w:sz w:val="19"/>
          <w:szCs w:val="19"/>
        </w:rPr>
        <w:t>Software může zahrnovat komponenty třetích stran se samostatnými právními poučeními nebo komponenty, jejichž užívání se řídí jinými smlouvami, které mohou být popsány v souborech ThirdPartyNotices připojených k softwaru. Přestože se na takové komponenty vztahují jiné smlouvy, platí vyloučení a omezení škod níže.</w:t>
      </w:r>
    </w:p>
    <w:p w14:paraId="38DB1AA5" w14:textId="3107B87F" w:rsidR="002B3B99" w:rsidRPr="005E5FC0" w:rsidRDefault="000475AB" w:rsidP="002342D6">
      <w:pPr>
        <w:pStyle w:val="ListParagraph"/>
        <w:spacing w:after="160"/>
        <w:ind w:left="1080"/>
        <w:rPr>
          <w:rFonts w:ascii="Tahoma" w:hAnsi="Tahoma" w:cs="Tahoma"/>
          <w:sz w:val="19"/>
          <w:szCs w:val="19"/>
        </w:rPr>
      </w:pPr>
      <w:r w:rsidRPr="005E5FC0">
        <w:rPr>
          <w:rFonts w:ascii="Tahoma" w:hAnsi="Tahoma" w:cs="Tahoma"/>
          <w:sz w:val="19"/>
          <w:szCs w:val="19"/>
        </w:rPr>
        <w:t xml:space="preserve">Tento software může také zahrnovat součásti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 Kopii zdrojového kódu naleznete také na adrese </w:t>
      </w:r>
      <w:hyperlink r:id="rId11" w:history="1">
        <w:r w:rsidRPr="005E5FC0">
          <w:rPr>
            <w:rStyle w:val="Hyperlink"/>
            <w:rFonts w:ascii="Tahoma" w:hAnsi="Tahoma" w:cs="Tahoma"/>
            <w:sz w:val="19"/>
            <w:szCs w:val="19"/>
          </w:rPr>
          <w:t>https://thirdpartysource.microsoft.com/</w:t>
        </w:r>
      </w:hyperlink>
      <w:r w:rsidRPr="005E5FC0">
        <w:rPr>
          <w:rFonts w:ascii="Tahoma" w:eastAsia="MS Mincho" w:hAnsi="Tahoma" w:cs="Tahoma"/>
          <w:sz w:val="19"/>
          <w:szCs w:val="19"/>
        </w:rPr>
        <w:t>.</w:t>
      </w:r>
    </w:p>
    <w:p w14:paraId="4899FBD1" w14:textId="4BD443AD" w:rsidR="00AA0100" w:rsidRPr="005E5FC0" w:rsidRDefault="0084687F" w:rsidP="002342D6">
      <w:pPr>
        <w:pStyle w:val="ListParagraph"/>
        <w:numPr>
          <w:ilvl w:val="0"/>
          <w:numId w:val="12"/>
        </w:numPr>
        <w:spacing w:after="160"/>
        <w:ind w:left="720"/>
        <w:rPr>
          <w:rFonts w:ascii="Tahoma" w:hAnsi="Tahoma" w:cs="Tahoma"/>
          <w:sz w:val="19"/>
          <w:szCs w:val="19"/>
        </w:rPr>
      </w:pPr>
      <w:r w:rsidRPr="005E5FC0">
        <w:rPr>
          <w:rFonts w:ascii="Tahoma" w:hAnsi="Tahoma" w:cs="Tahoma"/>
          <w:b/>
          <w:bCs/>
          <w:sz w:val="19"/>
          <w:szCs w:val="19"/>
        </w:rPr>
        <w:t>Správci balíčků.</w:t>
      </w:r>
      <w:r w:rsidRPr="005E5FC0">
        <w:rPr>
          <w:rFonts w:ascii="Tahoma" w:hAnsi="Tahoma" w:cs="Tahoma"/>
          <w:bCs/>
          <w:sz w:val="19"/>
          <w:szCs w:val="19"/>
        </w:rPr>
        <w:t xml:space="preserve"> </w:t>
      </w:r>
      <w:r w:rsidRPr="005E5FC0">
        <w:rPr>
          <w:rFonts w:ascii="Tahoma" w:hAnsi="Tahoma" w:cs="Tahoma"/>
          <w:sz w:val="19"/>
          <w:szCs w:val="19"/>
        </w:rPr>
        <w:t>Software zahrnuje správce balíčků, například NuGet, umožňující stahovat jiné softwarové balíčky společnosti Microsoft nebo třetí strany a užívat je s vašimi aplikacemi. Na tyto balíčky se vztahují jejich vlastní licence, nikoli tato smlouva. Společnost Microsoft nezajišťuje distribuci ani licencování balíčků třetích stran a neposkytuje pro ně žádné záruky.</w:t>
      </w:r>
    </w:p>
    <w:p w14:paraId="565E4C87" w14:textId="64744AC2" w:rsidR="003B5050" w:rsidRPr="005E5FC0" w:rsidRDefault="00563EFB" w:rsidP="002342D6">
      <w:pPr>
        <w:pStyle w:val="Heading1"/>
        <w:tabs>
          <w:tab w:val="clear" w:pos="450"/>
          <w:tab w:val="num" w:pos="360"/>
        </w:tabs>
        <w:spacing w:before="0" w:after="160"/>
        <w:ind w:left="360" w:hanging="360"/>
        <w:rPr>
          <w:b w:val="0"/>
          <w:spacing w:val="-1"/>
        </w:rPr>
      </w:pPr>
      <w:r w:rsidRPr="005E5FC0">
        <w:rPr>
          <w:spacing w:val="-1"/>
        </w:rPr>
        <w:t xml:space="preserve">DATA. </w:t>
      </w:r>
      <w:r w:rsidRPr="005E5FC0">
        <w:rPr>
          <w:b w:val="0"/>
          <w:spacing w:val="-1"/>
        </w:rPr>
        <w:t xml:space="preserve">Software může shromažďovat informace o vás a používání softwaru a odesílat je společnosti Microsoft. Společnost Microsoft může tyto informace použít k poskytování služeb a zlepšování svých produktů a služeb. K některým z těchto scénářů se nemusíte přihlásit, jak je popsáno v dokumentaci produktu. Další informace o shromažďování a používání dat naleznete v dokumentaci nápovědy a v prohlášení společnosti Microsoft o zásadách ochrany osobních údajů na adrese </w:t>
      </w:r>
      <w:hyperlink r:id="rId12" w:history="1">
        <w:r w:rsidRPr="005E5FC0">
          <w:rPr>
            <w:rStyle w:val="Hyperlink"/>
            <w:rFonts w:cs="Tahoma"/>
            <w:b w:val="0"/>
            <w:spacing w:val="-1"/>
          </w:rPr>
          <w:t>https://go.microsoft.com/fwlink/?LinkID=824704</w:t>
        </w:r>
      </w:hyperlink>
      <w:r w:rsidRPr="005E5FC0">
        <w:rPr>
          <w:b w:val="0"/>
          <w:spacing w:val="-1"/>
        </w:rPr>
        <w:t>. Užitím tohoto softwaru vyjadřujete svůj souhlas s těmito postupy.</w:t>
      </w:r>
    </w:p>
    <w:p w14:paraId="7AAABB72" w14:textId="36C8A8A7" w:rsidR="00561C14" w:rsidRPr="005E5FC0" w:rsidRDefault="00561C14" w:rsidP="002342D6">
      <w:pPr>
        <w:pStyle w:val="Heading1"/>
        <w:tabs>
          <w:tab w:val="clear" w:pos="450"/>
          <w:tab w:val="num" w:pos="360"/>
        </w:tabs>
        <w:spacing w:before="0" w:after="160"/>
        <w:ind w:left="360" w:hanging="360"/>
        <w:rPr>
          <w:b w:val="0"/>
        </w:rPr>
      </w:pPr>
      <w:r w:rsidRPr="005E5FC0">
        <w:t xml:space="preserve">SOFTWARE S ČASOVÝM POČITADLEM. </w:t>
      </w:r>
      <w:r w:rsidRPr="005E5FC0">
        <w:rPr>
          <w:b w:val="0"/>
        </w:rPr>
        <w:t>Software je časově omezený a přestane fungovat k datu definovanému v tomto softwaru, kdy přestávají platit také vaše licenční práva k užívání tohoto softwaru. Jakmile software přestane fungovat, může vám být odebrán přístup ke kopiím vašeho kódu nebo jiným datům, která jsou v tomto softwaru uložena.</w:t>
      </w:r>
    </w:p>
    <w:p w14:paraId="02E5ED8B" w14:textId="2718495C" w:rsidR="00561C14" w:rsidRPr="005E5FC0" w:rsidRDefault="00561C14" w:rsidP="002342D6">
      <w:pPr>
        <w:pStyle w:val="Heading1"/>
        <w:tabs>
          <w:tab w:val="clear" w:pos="450"/>
          <w:tab w:val="num" w:pos="360"/>
        </w:tabs>
        <w:spacing w:before="0" w:after="160"/>
        <w:ind w:left="360" w:hanging="360"/>
        <w:rPr>
          <w:b w:val="0"/>
        </w:rPr>
      </w:pPr>
      <w:r w:rsidRPr="005E5FC0">
        <w:t xml:space="preserve">PŘEDBĚŽNÁ VERZE SOFTWARU. </w:t>
      </w:r>
      <w:r w:rsidRPr="005E5FC0">
        <w:rPr>
          <w:b w:val="0"/>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14:paraId="49D69AFA" w14:textId="77777777" w:rsidR="00661CED" w:rsidRPr="005E5FC0" w:rsidRDefault="00561C14" w:rsidP="002342D6">
      <w:pPr>
        <w:pStyle w:val="Heading1"/>
        <w:tabs>
          <w:tab w:val="clear" w:pos="450"/>
          <w:tab w:val="num" w:pos="360"/>
        </w:tabs>
        <w:spacing w:before="0" w:after="160"/>
        <w:ind w:left="360" w:hanging="360"/>
        <w:rPr>
          <w:b w:val="0"/>
        </w:rPr>
      </w:pPr>
      <w:r w:rsidRPr="005E5FC0">
        <w:t xml:space="preserve">ZPĚTNÁ VAZBA. </w:t>
      </w:r>
      <w:r w:rsidRPr="005E5FC0">
        <w:rPr>
          <w:b w:val="0"/>
        </w:rPr>
        <w:t>Pokud sdělíte společnosti Microsoft svůj názor na software, poskytujete tím společnosti Microsoft bezplatné právo k užívání, sdílení a komerčnímu využití tohoto názoru jakýmkoli způsobem a k jakémukoli účelu. Neposkytnete takovou zpětnou vazbu, která je předmětem licence vyžadující, aby společnost Microsoft poskytla licenci k softwaru nebo dokumentaci třetím stranám proto, že jsme do nich zahrnuli vaši zpětnou vazbu. Tato práva zůstanou v platnosti i po skončení účinnosti této smlouvy.</w:t>
      </w:r>
    </w:p>
    <w:p w14:paraId="44F6C521" w14:textId="65F29F44" w:rsidR="00561C14" w:rsidRPr="005E5FC0" w:rsidRDefault="00561C14" w:rsidP="002342D6">
      <w:pPr>
        <w:pStyle w:val="Heading1"/>
        <w:tabs>
          <w:tab w:val="clear" w:pos="450"/>
          <w:tab w:val="num" w:pos="360"/>
        </w:tabs>
        <w:spacing w:before="0" w:after="160"/>
        <w:ind w:left="360" w:hanging="360"/>
        <w:rPr>
          <w:b w:val="0"/>
        </w:rPr>
      </w:pPr>
      <w:r w:rsidRPr="005E5FC0">
        <w:t xml:space="preserve">ROZSAH LICENCE. </w:t>
      </w:r>
      <w:r w:rsidRPr="005E5FC0">
        <w:rPr>
          <w:b w:val="0"/>
        </w:rPr>
        <w:t>Software se neprodává, pouze se uděluje licence k jeho užívání. Tato smlouva vám poskytuje pouze určitá užívací práva k softwaru. Všechna ostatní práva si vyhrazuje společnost Microsoft.</w:t>
      </w:r>
      <w:r w:rsidRPr="005E5FC0">
        <w:t xml:space="preserve"> </w:t>
      </w:r>
      <w:r w:rsidRPr="005E5FC0">
        <w:rPr>
          <w:b w:val="0"/>
        </w:rPr>
        <w:t>Pokud vám rozhodné právo bez ohledu na tato omezení neposkytuje více práv, smíte software užívat pouze způsobem výslovně povoleným v této smlouvě. Současně musíte dodržovat veškerá technická omezení v softwaru, která umožňují jeho užívání pouze určitými způsoby. Zákazník nesmí:</w:t>
      </w:r>
    </w:p>
    <w:p w14:paraId="49F5508A" w14:textId="77777777" w:rsidR="00D015E8" w:rsidRPr="005E5FC0" w:rsidRDefault="00D015E8" w:rsidP="002342D6">
      <w:pPr>
        <w:pStyle w:val="Bullet4"/>
        <w:tabs>
          <w:tab w:val="clear" w:pos="1437"/>
          <w:tab w:val="num" w:pos="720"/>
        </w:tabs>
        <w:spacing w:before="0" w:after="160"/>
        <w:ind w:left="720" w:hanging="360"/>
      </w:pPr>
      <w:r w:rsidRPr="005E5FC0">
        <w:t>překračovat žádná technická omezení softwaru,</w:t>
      </w:r>
    </w:p>
    <w:p w14:paraId="631F97E5" w14:textId="790EBEBC" w:rsidR="00D015E8" w:rsidRPr="005E5FC0" w:rsidRDefault="00D015E8" w:rsidP="002342D6">
      <w:pPr>
        <w:pStyle w:val="Bullet4"/>
        <w:tabs>
          <w:tab w:val="clear" w:pos="1437"/>
          <w:tab w:val="num" w:pos="720"/>
        </w:tabs>
        <w:spacing w:before="0" w:after="160"/>
        <w:ind w:left="720" w:hanging="360"/>
        <w:rPr>
          <w:rFonts w:eastAsia="SimSun"/>
        </w:rPr>
      </w:pPr>
      <w:r w:rsidRPr="005E5FC0">
        <w:rPr>
          <w:rFonts w:eastAsia="SimSun"/>
        </w:rPr>
        <w:t xml:space="preserve">provádět zpětnou analýzu, dekompilaci nebo rozklad softwaru </w:t>
      </w:r>
      <w:r w:rsidRPr="005E5FC0">
        <w:t>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r w:rsidRPr="005E5FC0">
        <w:rPr>
          <w:rFonts w:eastAsia="SimSun"/>
        </w:rPr>
        <w:t>;</w:t>
      </w:r>
    </w:p>
    <w:p w14:paraId="4E131D42" w14:textId="77777777" w:rsidR="00D015E8" w:rsidRPr="005E5FC0" w:rsidRDefault="00D015E8" w:rsidP="002342D6">
      <w:pPr>
        <w:pStyle w:val="Bullet4"/>
        <w:tabs>
          <w:tab w:val="clear" w:pos="1437"/>
          <w:tab w:val="num" w:pos="720"/>
        </w:tabs>
        <w:spacing w:before="0" w:after="160"/>
        <w:ind w:left="720" w:hanging="360"/>
      </w:pPr>
      <w:r w:rsidRPr="005E5FC0">
        <w:lastRenderedPageBreak/>
        <w:t>odebírat, minimalizovat, blokovat nebo měnit sdělení společnosti Microsoft nebo jejích dodavatelů obsažená v softwaru;</w:t>
      </w:r>
    </w:p>
    <w:p w14:paraId="4E564A7D" w14:textId="77777777" w:rsidR="00D015E8" w:rsidRPr="005E5FC0" w:rsidRDefault="00D015E8" w:rsidP="002342D6">
      <w:pPr>
        <w:pStyle w:val="Bullet4"/>
        <w:tabs>
          <w:tab w:val="clear" w:pos="1437"/>
          <w:tab w:val="num" w:pos="720"/>
        </w:tabs>
        <w:spacing w:before="0" w:after="160"/>
        <w:ind w:left="720" w:hanging="360"/>
      </w:pPr>
      <w:r w:rsidRPr="005E5FC0">
        <w:t>užívat software jakýmkoli způsobem, který je v rozporu se zákonem; nebo</w:t>
      </w:r>
    </w:p>
    <w:p w14:paraId="6AAB6F68" w14:textId="4636D35D" w:rsidR="00AD48A4" w:rsidRPr="005E5FC0" w:rsidRDefault="00141F26" w:rsidP="002342D6">
      <w:pPr>
        <w:pStyle w:val="Bullet4"/>
        <w:tabs>
          <w:tab w:val="clear" w:pos="1437"/>
          <w:tab w:val="num" w:pos="720"/>
        </w:tabs>
        <w:spacing w:before="0" w:after="160"/>
        <w:ind w:left="720" w:hanging="360"/>
      </w:pPr>
      <w:r w:rsidRPr="005E5FC0">
        <w:t>sdílet, publikovat, pronajímat nebo poskytovat tento software na leasing nebo jej poskytovat jako samostatnou nabídku pro ostatní uživatele k užívání nebo převádět software nebo tuto smlouvu na jakoukoli třetí stra</w:t>
      </w:r>
      <w:r w:rsidR="007C3E90" w:rsidRPr="005E5FC0">
        <w:t xml:space="preserve">nu. </w:t>
      </w:r>
    </w:p>
    <w:p w14:paraId="4DDDCEE8" w14:textId="10938FC4" w:rsidR="00561C14" w:rsidRPr="005E5FC0" w:rsidRDefault="00561C14" w:rsidP="002342D6">
      <w:pPr>
        <w:pStyle w:val="Heading1"/>
        <w:tabs>
          <w:tab w:val="clear" w:pos="450"/>
          <w:tab w:val="num" w:pos="360"/>
        </w:tabs>
        <w:spacing w:before="0" w:after="160"/>
        <w:ind w:left="360" w:hanging="360"/>
        <w:rPr>
          <w:rStyle w:val="Hyperlink"/>
          <w:rFonts w:eastAsia="SimSun" w:cs="Tahoma"/>
          <w:b w:val="0"/>
          <w:bCs w:val="0"/>
          <w:color w:val="auto"/>
        </w:rPr>
      </w:pPr>
      <w:r w:rsidRPr="005E5FC0">
        <w:t xml:space="preserve">VÝVOZNÍ OMEZENÍ. </w:t>
      </w:r>
      <w:r w:rsidRPr="005E5FC0">
        <w:rPr>
          <w:b w:val="0"/>
        </w:rPr>
        <w:t>Dále musíte dodržet veškeré místní i mezinárodní zákony a nařízení o exportu, které se na software vztahují, včetně omezení týkajících se místa určení, koncových uživatelů a koncového užívání. Další informace o omezeních exportu naleznete na adrese</w:t>
      </w:r>
      <w:r w:rsidRPr="005E5FC0">
        <w:t xml:space="preserve"> </w:t>
      </w:r>
      <w:hyperlink r:id="rId13" w:history="1">
        <w:r w:rsidRPr="005E5FC0">
          <w:rPr>
            <w:rStyle w:val="Hyperlink"/>
            <w:rFonts w:eastAsia="SimSun" w:cs="Tahoma"/>
            <w:b w:val="0"/>
          </w:rPr>
          <w:t>www.microsoft.com/exporting</w:t>
        </w:r>
      </w:hyperlink>
      <w:r w:rsidRPr="005E5FC0">
        <w:rPr>
          <w:b w:val="0"/>
          <w:bCs w:val="0"/>
        </w:rPr>
        <w:t>.</w:t>
      </w:r>
    </w:p>
    <w:p w14:paraId="51578A39" w14:textId="435CE545" w:rsidR="00561C14" w:rsidRPr="005E5FC0" w:rsidRDefault="00561C14" w:rsidP="002342D6">
      <w:pPr>
        <w:pStyle w:val="Heading1"/>
        <w:tabs>
          <w:tab w:val="clear" w:pos="450"/>
          <w:tab w:val="num" w:pos="360"/>
        </w:tabs>
        <w:spacing w:before="0" w:after="160"/>
        <w:ind w:left="360" w:hanging="360"/>
        <w:rPr>
          <w:b w:val="0"/>
        </w:rPr>
      </w:pPr>
      <w:r w:rsidRPr="005E5FC0">
        <w:t xml:space="preserve">PODPORA. </w:t>
      </w:r>
      <w:r w:rsidRPr="005E5FC0">
        <w:rPr>
          <w:b w:val="0"/>
        </w:rPr>
        <w:t>Vzhledem k tomu, že software je poskytován, „jak stojí a leží“</w:t>
      </w:r>
      <w:r w:rsidR="009A71B0" w:rsidRPr="005E5FC0">
        <w:rPr>
          <w:b w:val="0"/>
        </w:rPr>
        <w:t>,</w:t>
      </w:r>
      <w:r w:rsidRPr="005E5FC0">
        <w:rPr>
          <w:b w:val="0"/>
        </w:rPr>
        <w:t xml:space="preserve"> nemusíme k němu poskytovat žádné služby podpory.</w:t>
      </w:r>
    </w:p>
    <w:p w14:paraId="265E94C9" w14:textId="77777777" w:rsidR="00561C14" w:rsidRPr="005E5FC0" w:rsidRDefault="00561C14" w:rsidP="002342D6">
      <w:pPr>
        <w:pStyle w:val="Heading1"/>
        <w:tabs>
          <w:tab w:val="clear" w:pos="450"/>
          <w:tab w:val="num" w:pos="360"/>
        </w:tabs>
        <w:spacing w:before="0" w:after="160"/>
        <w:ind w:left="360" w:hanging="360"/>
        <w:rPr>
          <w:b w:val="0"/>
        </w:rPr>
      </w:pPr>
      <w:r w:rsidRPr="005E5FC0">
        <w:t xml:space="preserve">ÚPLNÁ SMLOUVA. </w:t>
      </w:r>
      <w:r w:rsidRPr="005E5FC0">
        <w:rPr>
          <w:b w:val="0"/>
        </w:rPr>
        <w:t>Tato smlouva a podmínky pro doplňky, aktualizace, internetové služby a služby technické podpory, které užíváte, tvoří úplnou smlouvu ohledně softwaru a služeb technické podpory.</w:t>
      </w:r>
    </w:p>
    <w:p w14:paraId="157EA1F6" w14:textId="004FF7DA" w:rsidR="00561C14" w:rsidRPr="005E5FC0" w:rsidRDefault="00561C14" w:rsidP="00D86539">
      <w:pPr>
        <w:pStyle w:val="Heading1"/>
        <w:tabs>
          <w:tab w:val="clear" w:pos="450"/>
          <w:tab w:val="num" w:pos="360"/>
        </w:tabs>
        <w:spacing w:before="0" w:after="160"/>
        <w:ind w:left="360" w:hanging="360"/>
        <w:rPr>
          <w:rFonts w:eastAsia="SimSun"/>
          <w:b w:val="0"/>
        </w:rPr>
      </w:pPr>
      <w:r w:rsidRPr="005E5FC0">
        <w:rPr>
          <w:rFonts w:eastAsia="SimSun"/>
        </w:rPr>
        <w:t xml:space="preserve">ROZHODNÉ PRÁVO. </w:t>
      </w:r>
      <w:r w:rsidRPr="005E5FC0">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36182406" w14:textId="77777777" w:rsidR="00141F26" w:rsidRPr="005E5FC0" w:rsidRDefault="00141F26" w:rsidP="002342D6">
      <w:pPr>
        <w:pStyle w:val="Heading1"/>
        <w:tabs>
          <w:tab w:val="clear" w:pos="450"/>
          <w:tab w:val="num" w:pos="360"/>
        </w:tabs>
        <w:spacing w:before="0" w:after="160"/>
        <w:ind w:left="360" w:hanging="360"/>
        <w:rPr>
          <w:b w:val="0"/>
        </w:rPr>
      </w:pPr>
      <w:r w:rsidRPr="005E5FC0">
        <w:t xml:space="preserve">PRÁVA SPOTŘEBITELE, REGIONÁLNÍ ODCHYLKY. </w:t>
      </w:r>
      <w:r w:rsidRPr="005E5FC0">
        <w:rPr>
          <w:b w:val="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572AC2DC" w14:textId="77777777" w:rsidR="00141F26" w:rsidRPr="005E5FC0" w:rsidRDefault="00141F26" w:rsidP="002342D6">
      <w:pPr>
        <w:pStyle w:val="Heading2"/>
        <w:numPr>
          <w:ilvl w:val="0"/>
          <w:numId w:val="32"/>
        </w:numPr>
        <w:spacing w:before="0" w:after="160"/>
        <w:rPr>
          <w:b w:val="0"/>
        </w:rPr>
      </w:pPr>
      <w:r w:rsidRPr="005E5FC0">
        <w:t xml:space="preserve">Austrálie. </w:t>
      </w:r>
      <w:r w:rsidRPr="005E5FC0">
        <w:rPr>
          <w:b w:val="0"/>
        </w:rPr>
        <w:t>Na základě australského spotřebitelského práva máte zákonné záruky a záměrem žádného ustanovení této smlouvy není taková práva jakkoli ovlivňovat.</w:t>
      </w:r>
    </w:p>
    <w:p w14:paraId="1E82531B" w14:textId="77777777" w:rsidR="00141F26" w:rsidRPr="005E5FC0" w:rsidRDefault="00141F26" w:rsidP="002342D6">
      <w:pPr>
        <w:pStyle w:val="Heading2"/>
        <w:numPr>
          <w:ilvl w:val="0"/>
          <w:numId w:val="32"/>
        </w:numPr>
        <w:spacing w:before="0" w:after="160"/>
        <w:rPr>
          <w:b w:val="0"/>
        </w:rPr>
      </w:pPr>
      <w:r w:rsidRPr="005E5FC0">
        <w:t xml:space="preserve">Kanada. </w:t>
      </w:r>
      <w:r w:rsidRPr="005E5FC0">
        <w:rPr>
          <w:b w:val="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14:paraId="08BAFCD7" w14:textId="5DD4674C" w:rsidR="00141F26" w:rsidRPr="005E5FC0" w:rsidRDefault="00141F26" w:rsidP="002342D6">
      <w:pPr>
        <w:pStyle w:val="Heading2"/>
        <w:numPr>
          <w:ilvl w:val="0"/>
          <w:numId w:val="32"/>
        </w:numPr>
        <w:spacing w:before="0" w:after="160"/>
      </w:pPr>
      <w:r w:rsidRPr="005E5FC0">
        <w:t>Německo a Rakousko</w:t>
      </w:r>
    </w:p>
    <w:p w14:paraId="08828945" w14:textId="77777777" w:rsidR="00141F26" w:rsidRPr="005E5FC0" w:rsidRDefault="00141F26" w:rsidP="002342D6">
      <w:pPr>
        <w:spacing w:before="0" w:after="160"/>
        <w:ind w:left="1080" w:hanging="363"/>
      </w:pPr>
      <w:r w:rsidRPr="005E5FC0">
        <w:rPr>
          <w:b/>
        </w:rPr>
        <w:t>(i)</w:t>
      </w:r>
      <w:r w:rsidRPr="005E5FC0">
        <w:tab/>
      </w:r>
      <w:r w:rsidRPr="005E5FC0">
        <w:rPr>
          <w:b/>
        </w:rPr>
        <w:t>Záruka</w:t>
      </w:r>
      <w:r w:rsidRPr="005E5FC0">
        <w:rPr>
          <w:b/>
          <w:bCs/>
        </w:rPr>
        <w:t xml:space="preserve">. </w:t>
      </w:r>
      <w:r w:rsidRPr="005E5FC0">
        <w:t>Řádně licencovaný software bude v podstatných rysech fungovat tak, jak je popsáno v materiálech společnosti Microsoft dodávaných spolu s ním. Společnost Microsoft však ve vztahu k licencovanému softwaru neposkytuje žádné smluvní záruky.</w:t>
      </w:r>
    </w:p>
    <w:p w14:paraId="12D8C248" w14:textId="77777777" w:rsidR="00141F26" w:rsidRPr="005E5FC0" w:rsidRDefault="00141F26" w:rsidP="002342D6">
      <w:pPr>
        <w:spacing w:before="0" w:after="160"/>
        <w:ind w:left="1080" w:hanging="363"/>
      </w:pPr>
      <w:r w:rsidRPr="005E5FC0">
        <w:rPr>
          <w:b/>
        </w:rPr>
        <w:t>(ii)</w:t>
      </w:r>
      <w:r w:rsidRPr="005E5FC0">
        <w:tab/>
      </w:r>
      <w:r w:rsidRPr="005E5FC0">
        <w:rPr>
          <w:b/>
        </w:rPr>
        <w:t>Omezení odpovědnosti</w:t>
      </w:r>
      <w:r w:rsidRPr="005E5FC0">
        <w:rPr>
          <w:b/>
          <w:bCs/>
        </w:rPr>
        <w:t>.</w:t>
      </w:r>
      <w:r w:rsidRPr="005E5FC0">
        <w:t xml:space="preserve"> V případě záměrného jednání, hrubé nedbalosti, nároků na základě zákona o odpovědnosti za produkt a také v případě úmrtí nebo zranění nese společnost Microsoft odpovědnost podle zákonného práva.</w:t>
      </w:r>
    </w:p>
    <w:p w14:paraId="20A21010" w14:textId="2E92A70D" w:rsidR="00141F26" w:rsidRPr="005E5FC0" w:rsidRDefault="00141F26" w:rsidP="002342D6">
      <w:pPr>
        <w:pStyle w:val="Heading1"/>
        <w:numPr>
          <w:ilvl w:val="0"/>
          <w:numId w:val="0"/>
        </w:numPr>
        <w:spacing w:before="0" w:after="160"/>
        <w:ind w:left="717"/>
        <w:rPr>
          <w:b w:val="0"/>
        </w:rPr>
      </w:pPr>
      <w:r w:rsidRPr="005E5FC0">
        <w:rPr>
          <w:b w:val="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14:paraId="625B6D6C" w14:textId="77777777" w:rsidR="00561C14" w:rsidRPr="005E5FC0" w:rsidRDefault="00561C14" w:rsidP="002342D6">
      <w:pPr>
        <w:pStyle w:val="Heading1"/>
        <w:tabs>
          <w:tab w:val="clear" w:pos="450"/>
          <w:tab w:val="num" w:pos="360"/>
        </w:tabs>
        <w:spacing w:before="0" w:after="160"/>
        <w:ind w:left="360" w:hanging="360"/>
      </w:pPr>
      <w:r w:rsidRPr="005E5FC0">
        <w:t>ODMÍTNUTÍ ZÁRUKY. SOFTWARE JE LICENCOVÁN, „JAK STOJÍ A LEŽÍ“.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14:paraId="6881C3DD" w14:textId="45B83040" w:rsidR="00561C14" w:rsidRPr="005E5FC0" w:rsidRDefault="00561C14" w:rsidP="002342D6">
      <w:pPr>
        <w:pStyle w:val="Heading1"/>
        <w:tabs>
          <w:tab w:val="clear" w:pos="450"/>
          <w:tab w:val="num" w:pos="360"/>
        </w:tabs>
        <w:spacing w:before="0" w:after="160"/>
        <w:ind w:left="360" w:hanging="360"/>
      </w:pPr>
      <w:r w:rsidRPr="005E5FC0">
        <w:rPr>
          <w:rFonts w:eastAsia="SimSun"/>
        </w:rPr>
        <w:lastRenderedPageBreak/>
        <w:t>OMEZENÍ NÁHRADY ŠKODY</w:t>
      </w:r>
      <w:r w:rsidRPr="005E5FC0">
        <w:t>. OD SPOLEČNOSTI MICROSOFT A JEJÍCH DODAVATELŮ MŮŽETE ZÍSKAT POUZE NÁHRADU ZA PŘÍMÉ ŠKODY DO MAXIMÁLNÍ VÝŠE 5 USD. NEZÍSKÁTE NÁHRADU ZA ŽÁDNÉ JINÉ ŠKODY, VČETNĚ NÁSLEDNÝCH ŠKOD, UŠLÉHO ZISKU A ZVLÁŠTNÍCH, NEPŘÍMÝCH NEBO NÁHODNÝCH ŠKOD.</w:t>
      </w:r>
    </w:p>
    <w:p w14:paraId="5543EA3F" w14:textId="6AE0ECF8" w:rsidR="00561C14" w:rsidRPr="005E5FC0" w:rsidRDefault="00561C14" w:rsidP="002342D6">
      <w:pPr>
        <w:pStyle w:val="Body1"/>
        <w:spacing w:before="0" w:after="160"/>
        <w:ind w:left="360"/>
      </w:pPr>
      <w:r w:rsidRPr="005E5FC0">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297E617C" w14:textId="77777777" w:rsidR="00561C14" w:rsidRPr="005E5FC0" w:rsidRDefault="00561C14" w:rsidP="002342D6">
      <w:pPr>
        <w:spacing w:before="0" w:after="160"/>
        <w:ind w:left="360"/>
      </w:pPr>
      <w:r w:rsidRPr="005E5FC0">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14:paraId="72D3FB7E" w14:textId="1A5AD5E2" w:rsidR="00396E3C" w:rsidRPr="005E5FC0" w:rsidRDefault="00B32E69" w:rsidP="00FC3E1B">
      <w:pPr>
        <w:spacing w:before="0" w:after="160"/>
        <w:ind w:hanging="357"/>
      </w:pPr>
      <w:r w:rsidRPr="005E5FC0">
        <w:rPr>
          <w:rFonts w:eastAsia="Times New Roman"/>
          <w:color w:val="000000"/>
        </w:rPr>
        <w:t xml:space="preserve">EULAID: </w:t>
      </w:r>
      <w:r w:rsidRPr="005E5FC0">
        <w:rPr>
          <w:rFonts w:eastAsia="Times New Roman"/>
          <w:color w:val="1F3864"/>
        </w:rPr>
        <w:t>VS2017_CTP_EVAL_VS_</w:t>
      </w:r>
      <w:r w:rsidR="00FC3E1B" w:rsidRPr="005E5FC0">
        <w:rPr>
          <w:rFonts w:eastAsia="Times New Roman"/>
          <w:color w:val="1F3864"/>
        </w:rPr>
        <w:t>C</w:t>
      </w:r>
      <w:r w:rsidR="00A81F4B">
        <w:rPr>
          <w:rFonts w:eastAsia="Times New Roman"/>
          <w:color w:val="1F3864"/>
        </w:rPr>
        <w:t>SY</w:t>
      </w:r>
      <w:bookmarkStart w:id="0" w:name="_GoBack"/>
      <w:bookmarkEnd w:id="0"/>
      <w:r w:rsidRPr="005E5FC0">
        <w:rPr>
          <w:rFonts w:eastAsia="Times New Roman"/>
          <w:color w:val="1F3864"/>
        </w:rPr>
        <w:t>.2 </w:t>
      </w:r>
    </w:p>
    <w:sectPr w:rsidR="00396E3C" w:rsidRPr="005E5F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C578" w14:textId="77777777" w:rsidR="00BE3B39" w:rsidRDefault="00BE3B39" w:rsidP="0030176A">
      <w:pPr>
        <w:spacing w:before="0" w:after="0"/>
      </w:pPr>
      <w:r>
        <w:separator/>
      </w:r>
    </w:p>
  </w:endnote>
  <w:endnote w:type="continuationSeparator" w:id="0">
    <w:p w14:paraId="6AB275A3" w14:textId="77777777" w:rsidR="00BE3B39" w:rsidRDefault="00BE3B39" w:rsidP="003017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410D" w14:textId="77777777" w:rsidR="0030176A" w:rsidRDefault="00301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13F8" w14:textId="77777777" w:rsidR="0030176A" w:rsidRDefault="00301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7CB4" w14:textId="77777777" w:rsidR="0030176A" w:rsidRDefault="0030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3AAB" w14:textId="77777777" w:rsidR="00BE3B39" w:rsidRDefault="00BE3B39" w:rsidP="0030176A">
      <w:pPr>
        <w:spacing w:before="0" w:after="0"/>
      </w:pPr>
      <w:r>
        <w:separator/>
      </w:r>
    </w:p>
  </w:footnote>
  <w:footnote w:type="continuationSeparator" w:id="0">
    <w:p w14:paraId="7E562DFB" w14:textId="77777777" w:rsidR="00BE3B39" w:rsidRDefault="00BE3B39" w:rsidP="003017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529F" w14:textId="77777777" w:rsidR="0030176A" w:rsidRDefault="00301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B29C" w14:textId="77777777" w:rsidR="0030176A" w:rsidRDefault="00301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ABAF" w14:textId="77777777" w:rsidR="0030176A" w:rsidRDefault="00301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847E5BA0"/>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12DE"/>
    <w:rsid w:val="00006A09"/>
    <w:rsid w:val="000224DF"/>
    <w:rsid w:val="00027124"/>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A093F"/>
    <w:rsid w:val="001B3C03"/>
    <w:rsid w:val="001C078A"/>
    <w:rsid w:val="001C2A65"/>
    <w:rsid w:val="001C2CBE"/>
    <w:rsid w:val="001D1742"/>
    <w:rsid w:val="001E34BE"/>
    <w:rsid w:val="001E552B"/>
    <w:rsid w:val="001F1FD3"/>
    <w:rsid w:val="001F7F3D"/>
    <w:rsid w:val="00200841"/>
    <w:rsid w:val="00200CD6"/>
    <w:rsid w:val="002077D8"/>
    <w:rsid w:val="00230B59"/>
    <w:rsid w:val="002342D6"/>
    <w:rsid w:val="0024138C"/>
    <w:rsid w:val="00243B16"/>
    <w:rsid w:val="002574C4"/>
    <w:rsid w:val="002728EA"/>
    <w:rsid w:val="00290ACF"/>
    <w:rsid w:val="002917D4"/>
    <w:rsid w:val="0029683E"/>
    <w:rsid w:val="00296BEA"/>
    <w:rsid w:val="002B30DE"/>
    <w:rsid w:val="002B3B99"/>
    <w:rsid w:val="002B61B3"/>
    <w:rsid w:val="002D6E56"/>
    <w:rsid w:val="0030176A"/>
    <w:rsid w:val="00314D64"/>
    <w:rsid w:val="00331E93"/>
    <w:rsid w:val="003365BA"/>
    <w:rsid w:val="00376644"/>
    <w:rsid w:val="00380050"/>
    <w:rsid w:val="0038180E"/>
    <w:rsid w:val="00396E3C"/>
    <w:rsid w:val="003B5050"/>
    <w:rsid w:val="003C37A1"/>
    <w:rsid w:val="003D1BE4"/>
    <w:rsid w:val="003E1F6C"/>
    <w:rsid w:val="003F63B4"/>
    <w:rsid w:val="00400EAC"/>
    <w:rsid w:val="00407C5A"/>
    <w:rsid w:val="00407CCA"/>
    <w:rsid w:val="0041396C"/>
    <w:rsid w:val="00417214"/>
    <w:rsid w:val="00431BCC"/>
    <w:rsid w:val="004446EF"/>
    <w:rsid w:val="00451B4E"/>
    <w:rsid w:val="00472918"/>
    <w:rsid w:val="004948A0"/>
    <w:rsid w:val="004B5229"/>
    <w:rsid w:val="004C3AAC"/>
    <w:rsid w:val="004D4144"/>
    <w:rsid w:val="005114EC"/>
    <w:rsid w:val="00530510"/>
    <w:rsid w:val="00536564"/>
    <w:rsid w:val="00536DF3"/>
    <w:rsid w:val="00541550"/>
    <w:rsid w:val="00543875"/>
    <w:rsid w:val="005506A4"/>
    <w:rsid w:val="00551D5D"/>
    <w:rsid w:val="00561C14"/>
    <w:rsid w:val="00563EFB"/>
    <w:rsid w:val="005A0C75"/>
    <w:rsid w:val="005A43CF"/>
    <w:rsid w:val="005B2BF0"/>
    <w:rsid w:val="005B666A"/>
    <w:rsid w:val="005C17E8"/>
    <w:rsid w:val="005C4E42"/>
    <w:rsid w:val="005D08BE"/>
    <w:rsid w:val="005E3CEB"/>
    <w:rsid w:val="005E5FC0"/>
    <w:rsid w:val="005F4798"/>
    <w:rsid w:val="006265EF"/>
    <w:rsid w:val="00636B2C"/>
    <w:rsid w:val="006502F4"/>
    <w:rsid w:val="00661CED"/>
    <w:rsid w:val="0066355C"/>
    <w:rsid w:val="00667F7B"/>
    <w:rsid w:val="006804B8"/>
    <w:rsid w:val="006833EF"/>
    <w:rsid w:val="006A74DC"/>
    <w:rsid w:val="006C501F"/>
    <w:rsid w:val="006E6981"/>
    <w:rsid w:val="006F342A"/>
    <w:rsid w:val="006F3FD7"/>
    <w:rsid w:val="0070256E"/>
    <w:rsid w:val="0070661B"/>
    <w:rsid w:val="0071331F"/>
    <w:rsid w:val="007133B3"/>
    <w:rsid w:val="007134FC"/>
    <w:rsid w:val="00732DD7"/>
    <w:rsid w:val="00740F6E"/>
    <w:rsid w:val="00754170"/>
    <w:rsid w:val="007579C4"/>
    <w:rsid w:val="007867E0"/>
    <w:rsid w:val="007954AD"/>
    <w:rsid w:val="007B3889"/>
    <w:rsid w:val="007C3E90"/>
    <w:rsid w:val="007C6A8E"/>
    <w:rsid w:val="007F1DF1"/>
    <w:rsid w:val="008034A9"/>
    <w:rsid w:val="008060BE"/>
    <w:rsid w:val="00824218"/>
    <w:rsid w:val="0083050A"/>
    <w:rsid w:val="008352E8"/>
    <w:rsid w:val="00845E6D"/>
    <w:rsid w:val="0084687F"/>
    <w:rsid w:val="008640F1"/>
    <w:rsid w:val="008668FC"/>
    <w:rsid w:val="00870029"/>
    <w:rsid w:val="008723A0"/>
    <w:rsid w:val="00894F25"/>
    <w:rsid w:val="0089566E"/>
    <w:rsid w:val="008A1EEB"/>
    <w:rsid w:val="008A67C4"/>
    <w:rsid w:val="008E0C30"/>
    <w:rsid w:val="009009D1"/>
    <w:rsid w:val="00902CD0"/>
    <w:rsid w:val="009206E8"/>
    <w:rsid w:val="009254AF"/>
    <w:rsid w:val="00946C43"/>
    <w:rsid w:val="009476D1"/>
    <w:rsid w:val="00951E13"/>
    <w:rsid w:val="009721E3"/>
    <w:rsid w:val="00985582"/>
    <w:rsid w:val="00990706"/>
    <w:rsid w:val="009A1F56"/>
    <w:rsid w:val="009A71B0"/>
    <w:rsid w:val="009B07F5"/>
    <w:rsid w:val="009D0F96"/>
    <w:rsid w:val="009D5775"/>
    <w:rsid w:val="009E4EA1"/>
    <w:rsid w:val="009F2253"/>
    <w:rsid w:val="009F489C"/>
    <w:rsid w:val="00A038C5"/>
    <w:rsid w:val="00A13511"/>
    <w:rsid w:val="00A1448B"/>
    <w:rsid w:val="00A26A74"/>
    <w:rsid w:val="00A36DC2"/>
    <w:rsid w:val="00A45676"/>
    <w:rsid w:val="00A73297"/>
    <w:rsid w:val="00A81F4B"/>
    <w:rsid w:val="00A850C7"/>
    <w:rsid w:val="00A86FBD"/>
    <w:rsid w:val="00A87121"/>
    <w:rsid w:val="00AA0100"/>
    <w:rsid w:val="00AB450C"/>
    <w:rsid w:val="00AD22E2"/>
    <w:rsid w:val="00AD48A4"/>
    <w:rsid w:val="00AD4F3A"/>
    <w:rsid w:val="00AD545F"/>
    <w:rsid w:val="00AE70A0"/>
    <w:rsid w:val="00B16B8E"/>
    <w:rsid w:val="00B17EE2"/>
    <w:rsid w:val="00B22549"/>
    <w:rsid w:val="00B27648"/>
    <w:rsid w:val="00B32E69"/>
    <w:rsid w:val="00B46C7D"/>
    <w:rsid w:val="00B54101"/>
    <w:rsid w:val="00B73436"/>
    <w:rsid w:val="00B929CF"/>
    <w:rsid w:val="00B93B4D"/>
    <w:rsid w:val="00BB1824"/>
    <w:rsid w:val="00BE2E12"/>
    <w:rsid w:val="00BE3B39"/>
    <w:rsid w:val="00C012A0"/>
    <w:rsid w:val="00C21CF3"/>
    <w:rsid w:val="00C249B7"/>
    <w:rsid w:val="00C41708"/>
    <w:rsid w:val="00C42B00"/>
    <w:rsid w:val="00C56CF0"/>
    <w:rsid w:val="00C65700"/>
    <w:rsid w:val="00C66EC7"/>
    <w:rsid w:val="00C7673D"/>
    <w:rsid w:val="00C8335E"/>
    <w:rsid w:val="00C852AF"/>
    <w:rsid w:val="00CA3ED0"/>
    <w:rsid w:val="00CB1CFE"/>
    <w:rsid w:val="00CC0F55"/>
    <w:rsid w:val="00CD4F20"/>
    <w:rsid w:val="00CE75EA"/>
    <w:rsid w:val="00CF725A"/>
    <w:rsid w:val="00D015E8"/>
    <w:rsid w:val="00D01C7C"/>
    <w:rsid w:val="00D028FC"/>
    <w:rsid w:val="00D11AC6"/>
    <w:rsid w:val="00D154B4"/>
    <w:rsid w:val="00D478B0"/>
    <w:rsid w:val="00D5332D"/>
    <w:rsid w:val="00D5366A"/>
    <w:rsid w:val="00D6084A"/>
    <w:rsid w:val="00D61A3F"/>
    <w:rsid w:val="00D76620"/>
    <w:rsid w:val="00D86539"/>
    <w:rsid w:val="00DB152D"/>
    <w:rsid w:val="00DB15B2"/>
    <w:rsid w:val="00DB2B0B"/>
    <w:rsid w:val="00E16347"/>
    <w:rsid w:val="00E224A0"/>
    <w:rsid w:val="00E35AB1"/>
    <w:rsid w:val="00E4579E"/>
    <w:rsid w:val="00E63047"/>
    <w:rsid w:val="00E8156A"/>
    <w:rsid w:val="00E858A3"/>
    <w:rsid w:val="00EA2EBE"/>
    <w:rsid w:val="00EB70C9"/>
    <w:rsid w:val="00EC19D1"/>
    <w:rsid w:val="00EC7E1B"/>
    <w:rsid w:val="00ED449D"/>
    <w:rsid w:val="00EF687F"/>
    <w:rsid w:val="00F1620D"/>
    <w:rsid w:val="00F31D78"/>
    <w:rsid w:val="00F361EA"/>
    <w:rsid w:val="00F439D1"/>
    <w:rsid w:val="00F547CF"/>
    <w:rsid w:val="00F77B4C"/>
    <w:rsid w:val="00F81F46"/>
    <w:rsid w:val="00F85139"/>
    <w:rsid w:val="00F91367"/>
    <w:rsid w:val="00F9258B"/>
    <w:rsid w:val="00F92856"/>
    <w:rsid w:val="00FA1BA1"/>
    <w:rsid w:val="00FA7239"/>
    <w:rsid w:val="00FB37B3"/>
    <w:rsid w:val="00FC3E1B"/>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30176A"/>
    <w:pPr>
      <w:tabs>
        <w:tab w:val="center" w:pos="4680"/>
        <w:tab w:val="right" w:pos="9360"/>
      </w:tabs>
      <w:spacing w:before="0" w:after="0"/>
    </w:pPr>
  </w:style>
  <w:style w:type="character" w:customStyle="1" w:styleId="HeaderChar">
    <w:name w:val="Header Char"/>
    <w:basedOn w:val="DefaultParagraphFont"/>
    <w:link w:val="Header"/>
    <w:uiPriority w:val="99"/>
    <w:rsid w:val="0030176A"/>
    <w:rPr>
      <w:rFonts w:ascii="Tahoma" w:eastAsia="MS Mincho" w:hAnsi="Tahoma" w:cs="Tahoma"/>
      <w:sz w:val="19"/>
      <w:szCs w:val="19"/>
    </w:rPr>
  </w:style>
  <w:style w:type="paragraph" w:styleId="Footer">
    <w:name w:val="footer"/>
    <w:basedOn w:val="Normal"/>
    <w:link w:val="FooterChar"/>
    <w:uiPriority w:val="99"/>
    <w:unhideWhenUsed/>
    <w:rsid w:val="0030176A"/>
    <w:pPr>
      <w:tabs>
        <w:tab w:val="center" w:pos="4680"/>
        <w:tab w:val="right" w:pos="9360"/>
      </w:tabs>
      <w:spacing w:before="0" w:after="0"/>
    </w:pPr>
  </w:style>
  <w:style w:type="character" w:customStyle="1" w:styleId="FooterChar">
    <w:name w:val="Footer Char"/>
    <w:basedOn w:val="DefaultParagraphFont"/>
    <w:link w:val="Footer"/>
    <w:uiPriority w:val="99"/>
    <w:rsid w:val="0030176A"/>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pport.microsof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80C6-2F26-46EE-BF6C-24095B3B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2017-03-10T17:38:00Z</dcterms:created>
  <dcterms:modified xsi:type="dcterms:W3CDTF">2017-03-10T17:38:00Z</dcterms:modified>
</cp:coreProperties>
</file>