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D3" w:rsidRPr="00746659" w:rsidRDefault="003623D3" w:rsidP="002342D6">
      <w:pPr>
        <w:pStyle w:val="HeadingEULA"/>
        <w:spacing w:before="0" w:after="160"/>
        <w:ind w:left="0"/>
      </w:pPr>
      <w:r w:rsidRPr="00746659">
        <w:t>MICROSOFT-LIZENZBESTIMMUNGEN FÜR VORABVERSIONSSOFTWARE</w:t>
      </w:r>
    </w:p>
    <w:p w:rsidR="003623D3" w:rsidRPr="00746659" w:rsidRDefault="003623D3" w:rsidP="002342D6">
      <w:pPr>
        <w:pStyle w:val="HeadingEULA"/>
        <w:spacing w:before="0" w:after="160"/>
        <w:ind w:left="0"/>
      </w:pPr>
      <w:r w:rsidRPr="00746659">
        <w:t>VORABVERSIONSSOFTWARE DER MICROSOFT VISUAL STUDIO 2017-FAMILIE</w:t>
      </w:r>
    </w:p>
    <w:p w:rsidR="003623D3" w:rsidRPr="00510656" w:rsidRDefault="003623D3" w:rsidP="002342D6">
      <w:pPr>
        <w:pStyle w:val="Preamble"/>
        <w:spacing w:before="0" w:after="160"/>
        <w:ind w:left="0"/>
        <w:rPr>
          <w:b w:val="0"/>
        </w:rPr>
      </w:pPr>
      <w:r w:rsidRPr="00510656">
        <w:rPr>
          <w:b w:val="0"/>
        </w:rPr>
        <w:t>Diese Lizenzbestimmungen sind ein Vertrag zwischen Ihnen und der Microsoft Corporation (oder je nach Ihrem Wohnsitz, einem ihrer verbundenen Unternehmen). Sie gelten für die oben genannte Vorabversionssoftware. Die Bestimmungen gelten ebenso für jegliche von Microsoft angebotenen Dienste oder Updates für die Software, sofern diesen keine eigenen Bestimmungen beiliegen.</w:t>
      </w:r>
    </w:p>
    <w:p w:rsidR="003623D3" w:rsidRPr="00510656" w:rsidRDefault="003623D3" w:rsidP="002342D6">
      <w:pPr>
        <w:pStyle w:val="PreambleBorderAbove"/>
        <w:spacing w:before="0" w:after="160"/>
        <w:ind w:left="0"/>
      </w:pPr>
      <w:r w:rsidRPr="00510656">
        <w:t>WENN SIE DIESE LIZENZBESTIMMUNGEN EINHALTEN, VERFÜGEN SIE ÜBER DIE NACHFOLGEND AUFGEFÜHRTEN RECHTE.</w:t>
      </w:r>
    </w:p>
    <w:p w:rsidR="003623D3" w:rsidRPr="00510656" w:rsidRDefault="003623D3" w:rsidP="002342D6">
      <w:pPr>
        <w:pStyle w:val="Heading1"/>
        <w:tabs>
          <w:tab w:val="clear" w:pos="450"/>
          <w:tab w:val="num" w:pos="360"/>
        </w:tabs>
        <w:spacing w:before="0" w:after="160"/>
        <w:ind w:left="360" w:hanging="360"/>
      </w:pPr>
      <w:r w:rsidRPr="00510656">
        <w:t xml:space="preserve">RECHTE ZUR INSTALLATION UND NUTZUNG. </w:t>
      </w:r>
    </w:p>
    <w:p w:rsidR="003623D3" w:rsidRPr="00510656" w:rsidRDefault="003623D3" w:rsidP="004446EF">
      <w:pPr>
        <w:pStyle w:val="CommentText"/>
        <w:numPr>
          <w:ilvl w:val="0"/>
          <w:numId w:val="38"/>
        </w:numPr>
        <w:rPr>
          <w:sz w:val="19"/>
          <w:szCs w:val="19"/>
        </w:rPr>
      </w:pPr>
      <w:r w:rsidRPr="00510656">
        <w:rPr>
          <w:sz w:val="19"/>
          <w:szCs w:val="19"/>
        </w:rPr>
        <w:t>Sie sind berechtigt, eine beliebige Anzahl von Kopien der Software auf Ihren eigenen Geräten ausschließlich zu Bewertungszwecken zu installieren und zu verwenden. Wenn Sie die Software auf Microsoft Azure verwenden, fallen möglicherweise zusätzliche Gebühren an und gelten möglicherweise zusätzliche Bestimmungen.</w:t>
      </w:r>
    </w:p>
    <w:p w:rsidR="003623D3" w:rsidRPr="00510656" w:rsidRDefault="003623D3" w:rsidP="002342D6">
      <w:pPr>
        <w:pStyle w:val="Bullet3"/>
        <w:tabs>
          <w:tab w:val="clear" w:pos="1080"/>
          <w:tab w:val="num" w:pos="720"/>
        </w:tabs>
        <w:spacing w:before="0" w:after="160"/>
        <w:ind w:left="720" w:hanging="360"/>
        <w:rPr>
          <w:rFonts w:eastAsia="SimSun"/>
        </w:rPr>
      </w:pPr>
      <w:r w:rsidRPr="00510656">
        <w:t>Sie sind nicht berechtigt, Anwendungen, die Sie mit der Software entwerfen oder entwickeln, bereitzustellen oder zu vertreiben. Als Ausnahme gilt, dass Sie berechtigt sind, Ihre Anwendungen ausschließlich zum Bewerten von in der Software enthaltenen Bereitstellungstechnologien intern bereitzustellen</w:t>
      </w:r>
      <w:r w:rsidRPr="00510656">
        <w:rPr>
          <w:rFonts w:eastAsia="SimSun"/>
        </w:rPr>
        <w:t>.</w:t>
      </w:r>
    </w:p>
    <w:p w:rsidR="003623D3" w:rsidRPr="00510656" w:rsidRDefault="003623D3" w:rsidP="002342D6">
      <w:pPr>
        <w:pStyle w:val="Bullet3"/>
        <w:tabs>
          <w:tab w:val="clear" w:pos="1080"/>
          <w:tab w:val="num" w:pos="720"/>
        </w:tabs>
        <w:spacing w:before="0" w:after="160"/>
        <w:ind w:left="720" w:hanging="360"/>
        <w:rPr>
          <w:rFonts w:eastAsia="SimSun"/>
        </w:rPr>
      </w:pPr>
      <w:r w:rsidRPr="00510656">
        <w:t>Sie sind nicht berechtigt, die Software in einer realen Betriebsumgebung zu testen, sofern Sie nicht von Microsoft in einem gesonderten Vertrag die Erlaubnis dazu erhalten haben.</w:t>
      </w:r>
    </w:p>
    <w:p w:rsidR="003623D3" w:rsidRPr="00510656" w:rsidRDefault="003623D3" w:rsidP="002342D6">
      <w:pPr>
        <w:pStyle w:val="Heading1"/>
        <w:tabs>
          <w:tab w:val="clear" w:pos="450"/>
          <w:tab w:val="num" w:pos="360"/>
        </w:tabs>
        <w:spacing w:before="0" w:after="160"/>
        <w:ind w:left="360" w:hanging="360"/>
        <w:rPr>
          <w:rFonts w:eastAsia="SimSun"/>
        </w:rPr>
      </w:pPr>
      <w:r w:rsidRPr="00510656">
        <w:t>BESTIMMUNGEN FÜR SPEZIFISCHE KOMPONENTEN.</w:t>
      </w:r>
    </w:p>
    <w:p w:rsidR="003623D3" w:rsidRPr="00510656" w:rsidRDefault="003623D3" w:rsidP="002342D6">
      <w:pPr>
        <w:pStyle w:val="ListParagraph"/>
        <w:numPr>
          <w:ilvl w:val="0"/>
          <w:numId w:val="12"/>
        </w:numPr>
        <w:spacing w:after="160"/>
        <w:ind w:left="720"/>
        <w:rPr>
          <w:rFonts w:ascii="Tahoma" w:hAnsi="Tahoma" w:cs="Tahoma"/>
          <w:bCs/>
          <w:sz w:val="19"/>
          <w:szCs w:val="19"/>
        </w:rPr>
      </w:pPr>
      <w:r w:rsidRPr="00510656">
        <w:rPr>
          <w:rFonts w:ascii="Tahoma" w:hAnsi="Tahoma" w:cs="Tahoma"/>
          <w:b/>
          <w:sz w:val="19"/>
          <w:szCs w:val="19"/>
        </w:rPr>
        <w:t>Trennung von Komponenten; Arbeitsauslastungen.</w:t>
      </w:r>
      <w:r w:rsidRPr="00510656">
        <w:rPr>
          <w:rFonts w:ascii="Tahoma" w:hAnsi="Tahoma" w:cs="Tahoma"/>
          <w:sz w:val="19"/>
          <w:szCs w:val="19"/>
        </w:rPr>
        <w:t xml:space="preserve"> Sofern in diesem Vertrag nicht anders angegeben, (i) werden die Komponenten der Software als eine Einheit lizenziert, und ii) Sie sind nicht berechtigt, die Komponenten voneinander zu trennen oder zu virtualisieren und auf unterschiedlichen Geräten zu installieren. Dieser Vertrag gilt für Ihre Nutzung der Arbeitsauslastungen, die Ihnen innerhalb der Software zur Verfügung gestellt werden, es sei denn, dass eine Arbeitsauslastung oder eine Arbeitsauslastungskomponente mit abweichenden Bestimmungen ausgestattet ist.</w:t>
      </w:r>
    </w:p>
    <w:p w:rsidR="003623D3" w:rsidRPr="00510656" w:rsidRDefault="003623D3" w:rsidP="002342D6">
      <w:pPr>
        <w:pStyle w:val="ListParagraph"/>
        <w:numPr>
          <w:ilvl w:val="0"/>
          <w:numId w:val="12"/>
        </w:numPr>
        <w:spacing w:after="160"/>
        <w:ind w:left="720"/>
        <w:rPr>
          <w:rFonts w:ascii="Tahoma" w:hAnsi="Tahoma" w:cs="Tahoma"/>
          <w:sz w:val="19"/>
          <w:szCs w:val="19"/>
        </w:rPr>
      </w:pPr>
      <w:r w:rsidRPr="00510656">
        <w:rPr>
          <w:rFonts w:ascii="Tahoma" w:hAnsi="Tahoma" w:cs="Tahoma"/>
          <w:b/>
          <w:sz w:val="19"/>
          <w:szCs w:val="19"/>
        </w:rPr>
        <w:t>Dienstprogramme.</w:t>
      </w:r>
      <w:r w:rsidRPr="00510656">
        <w:rPr>
          <w:rFonts w:ascii="Tahoma" w:hAnsi="Tahoma" w:cs="Tahoma"/>
          <w:sz w:val="19"/>
          <w:szCs w:val="19"/>
        </w:rPr>
        <w:t xml:space="preserve"> Die Software enthält Elemente aus der Dienstprogrammliste unter </w:t>
      </w:r>
      <w:hyperlink r:id="rId7" w:history="1">
        <w:r w:rsidRPr="00510656">
          <w:rPr>
            <w:rStyle w:val="Hyperlink"/>
            <w:rFonts w:ascii="Tahoma" w:hAnsi="Tahoma" w:cs="Tahoma"/>
            <w:sz w:val="19"/>
            <w:szCs w:val="19"/>
          </w:rPr>
          <w:t>https://go.microsoft.com/fwlink/?linkid=823097</w:t>
        </w:r>
      </w:hyperlink>
      <w:r w:rsidRPr="00D64C29">
        <w:rPr>
          <w:rFonts w:ascii="Tahoma" w:hAnsi="Tahoma" w:cs="Tahoma"/>
          <w:sz w:val="19"/>
          <w:szCs w:val="19"/>
        </w:rPr>
        <w:t>. Sie sind</w:t>
      </w:r>
      <w:r w:rsidRPr="00510656">
        <w:rPr>
          <w:rFonts w:ascii="Tahoma" w:hAnsi="Tahoma" w:cs="Tahoma"/>
          <w:sz w:val="19"/>
          <w:szCs w:val="19"/>
        </w:rPr>
        <w:t xml:space="preserve"> berechtigt, diese Elemente, sofern sie in der Software enthalten sind, auf Ihre Geräte zu kopieren und zu installieren, um Ihre mit der Software entwickelten Anwendungen zu debuggen und intern bereitzustellen. Bitte beachten Sie, dass die Dienstprogramme für vorübergehende Nutzung konzipiert sind und Microsoft möglicherweise nicht in der Lage ist, die Dienstprogramme getrennt von der restlichen Software zu reparieren oder zu aktualisieren, und einige Dienstprogramme ihrer Natur nach anderen Personen Zugriff auf die Geräte gewähren können, auf denen die Dienstprogramme installiert sind. Dementsprechend sollten Sie nach dem Abschluss des Debuggens oder der internen Bereitstellung Ihrer Anwendungen alle Dienstprogramme löschen. Microsoft haftet nicht für Drittpartei-Nutzung oder den Zugriff auf Dienstprogramme, die Sie auf irgendeinem Gerät installieren.</w:t>
      </w:r>
    </w:p>
    <w:p w:rsidR="003623D3" w:rsidRPr="00510656" w:rsidRDefault="003623D3" w:rsidP="002342D6">
      <w:pPr>
        <w:pStyle w:val="ListParagraph"/>
        <w:numPr>
          <w:ilvl w:val="0"/>
          <w:numId w:val="12"/>
        </w:numPr>
        <w:spacing w:after="160"/>
        <w:ind w:left="720"/>
        <w:rPr>
          <w:rFonts w:ascii="Tahoma" w:hAnsi="Tahoma" w:cs="Tahoma"/>
          <w:sz w:val="19"/>
          <w:szCs w:val="19"/>
        </w:rPr>
      </w:pPr>
      <w:r w:rsidRPr="00510656">
        <w:rPr>
          <w:rFonts w:ascii="Tahoma" w:hAnsi="Tahoma" w:cs="Tahoma"/>
          <w:b/>
          <w:sz w:val="19"/>
          <w:szCs w:val="19"/>
        </w:rPr>
        <w:t>Erstellungsserver.</w:t>
      </w:r>
      <w:r w:rsidRPr="00510656">
        <w:rPr>
          <w:rFonts w:ascii="Tahoma" w:hAnsi="Tahoma" w:cs="Tahoma"/>
          <w:sz w:val="19"/>
          <w:szCs w:val="19"/>
        </w:rPr>
        <w:t xml:space="preserve"> Die Software enthält Dateien aus der Buildserver-Liste unter </w:t>
      </w:r>
      <w:hyperlink r:id="rId8" w:history="1">
        <w:r w:rsidRPr="00510656">
          <w:rPr>
            <w:rStyle w:val="Hyperlink"/>
            <w:rFonts w:ascii="Tahoma" w:hAnsi="Tahoma" w:cs="Tahoma"/>
            <w:sz w:val="19"/>
            <w:szCs w:val="19"/>
          </w:rPr>
          <w:t>https://go.microsoft.com/fwlink/?linkid=823097</w:t>
        </w:r>
      </w:hyperlink>
      <w:r w:rsidRPr="00510656">
        <w:rPr>
          <w:rFonts w:ascii="Tahoma" w:hAnsi="Tahoma" w:cs="Tahoma"/>
          <w:sz w:val="19"/>
          <w:szCs w:val="19"/>
        </w:rPr>
        <w:t xml:space="preserve">. Sie sind berechtigt, diese Buildserver-Dateien, sofern sie in der Software enthalten sind, auf Ihre Build-Geräte zu kopieren und zu installieren. Sie und andere in Ihrer Organisation sind berechtigt, diese Dateien auf Ihren Build-Geräten ausschließlich für Zwecke der Kompilierung, Erstellung und Überprüfung Ihrer Anwendungen oder der Ausführung von Qualitäts- oder Leistungstests als Teil des Erstellungsprozesses zu nutzen. </w:t>
      </w:r>
    </w:p>
    <w:p w:rsidR="003623D3" w:rsidRPr="0061368B" w:rsidRDefault="003623D3" w:rsidP="002342D6">
      <w:pPr>
        <w:pStyle w:val="ListParagraph"/>
        <w:numPr>
          <w:ilvl w:val="0"/>
          <w:numId w:val="12"/>
        </w:numPr>
        <w:spacing w:after="160"/>
        <w:ind w:left="720"/>
        <w:rPr>
          <w:rFonts w:ascii="Tahoma" w:hAnsi="Tahoma" w:cs="Tahoma"/>
          <w:bCs/>
          <w:sz w:val="19"/>
          <w:szCs w:val="19"/>
        </w:rPr>
      </w:pPr>
      <w:r w:rsidRPr="00746659">
        <w:rPr>
          <w:rFonts w:ascii="Tahoma" w:hAnsi="Tahoma" w:cs="Tahoma"/>
          <w:b/>
          <w:sz w:val="19"/>
          <w:szCs w:val="19"/>
        </w:rPr>
        <w:lastRenderedPageBreak/>
        <w:t>Schriftarten.</w:t>
      </w:r>
      <w:r w:rsidRPr="00746659">
        <w:rPr>
          <w:rFonts w:ascii="Tahoma" w:hAnsi="Tahoma" w:cs="Tahoma"/>
          <w:sz w:val="19"/>
          <w:szCs w:val="19"/>
        </w:rPr>
        <w:t xml:space="preserve"> Während die Software ausgeführt wird, sind Sie berechtigt, die Schriftarten der </w:t>
      </w:r>
      <w:r w:rsidRPr="0061368B">
        <w:rPr>
          <w:rFonts w:ascii="Tahoma" w:hAnsi="Tahoma" w:cs="Tahoma"/>
          <w:sz w:val="19"/>
          <w:szCs w:val="19"/>
        </w:rPr>
        <w:t>Software zum Anzeigen und Drucken von Inhalt zu verwenden. Sie dürfen nur Folgendes ausführen: (i) Schriftarten wie in den Einbettungsbeschränkungen in den Schriftarten gestattet in Inhalte einbetten und (ii) sie vorübergehend auf einen Drucker oder ein anderes Ausgabegerät herunterladen, um Inhalte zu drucken.</w:t>
      </w:r>
    </w:p>
    <w:p w:rsidR="003623D3" w:rsidRPr="0061368B" w:rsidRDefault="003623D3" w:rsidP="002342D6">
      <w:pPr>
        <w:pStyle w:val="ListParagraph"/>
        <w:numPr>
          <w:ilvl w:val="0"/>
          <w:numId w:val="12"/>
        </w:numPr>
        <w:spacing w:after="160"/>
        <w:ind w:left="720"/>
        <w:rPr>
          <w:rFonts w:ascii="Tahoma" w:hAnsi="Tahoma" w:cs="Tahoma"/>
          <w:b/>
          <w:sz w:val="19"/>
          <w:szCs w:val="19"/>
        </w:rPr>
      </w:pPr>
      <w:r w:rsidRPr="0061368B">
        <w:rPr>
          <w:rFonts w:ascii="Tahoma" w:hAnsi="Tahoma" w:cs="Tahoma"/>
          <w:b/>
          <w:sz w:val="19"/>
          <w:szCs w:val="19"/>
        </w:rPr>
        <w:t>Lizenzen für Andere Komponenten.</w:t>
      </w:r>
    </w:p>
    <w:p w:rsidR="003623D3" w:rsidRPr="0061368B" w:rsidRDefault="003623D3" w:rsidP="002342D6">
      <w:pPr>
        <w:pStyle w:val="Bullet3"/>
        <w:numPr>
          <w:ilvl w:val="0"/>
          <w:numId w:val="33"/>
        </w:numPr>
        <w:spacing w:before="0" w:after="160"/>
        <w:ind w:left="1080"/>
      </w:pPr>
      <w:r w:rsidRPr="0061368B">
        <w:rPr>
          <w:b/>
        </w:rPr>
        <w:t xml:space="preserve">Microsoft-Plattformen. </w:t>
      </w:r>
      <w:r w:rsidRPr="0061368B">
        <w:t xml:space="preserve">Die Software kann Komponenten aus Microsoft Windows, Microsoft Windows Server, Microsoft SQL Server, Microsoft Exchange, Microsoft Office und Microsoft SharePoint enthalten. 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Lizenzbestimmungen maßgeblich sind. </w:t>
      </w:r>
    </w:p>
    <w:p w:rsidR="003623D3" w:rsidRPr="0061368B" w:rsidRDefault="003623D3" w:rsidP="002342D6">
      <w:pPr>
        <w:pStyle w:val="ListParagraph"/>
        <w:numPr>
          <w:ilvl w:val="0"/>
          <w:numId w:val="33"/>
        </w:numPr>
        <w:spacing w:after="160"/>
        <w:ind w:left="1080"/>
        <w:rPr>
          <w:rFonts w:ascii="Tahoma" w:hAnsi="Tahoma" w:cs="Tahoma"/>
          <w:color w:val="000000"/>
          <w:sz w:val="19"/>
          <w:szCs w:val="19"/>
        </w:rPr>
      </w:pPr>
      <w:r w:rsidRPr="0061368B">
        <w:rPr>
          <w:rFonts w:ascii="Tahoma" w:hAnsi="Tahoma" w:cs="Tahoma"/>
          <w:b/>
          <w:sz w:val="19"/>
          <w:szCs w:val="19"/>
        </w:rPr>
        <w:t xml:space="preserve">Entwicklerressourcen. </w:t>
      </w:r>
      <w:r w:rsidRPr="0061368B">
        <w:rPr>
          <w:rFonts w:ascii="Tahoma" w:hAnsi="Tahoma" w:cs="Tahoma"/>
          <w:sz w:val="19"/>
          <w:szCs w:val="19"/>
        </w:rPr>
        <w:t xml:space="preserve">Die Software umfasst Compiler, Sprachen, Laufzeiten, Umgebungen und andere Ressourcen. Diese Komponenten unterliegen möglicherweise gesonderten Verträgen und ihren eigenen Produktsupportrichtlinien. Eine Liste dieser anderen Komponenten befindet sich unter </w:t>
      </w:r>
      <w:hyperlink r:id="rId9" w:history="1">
        <w:r w:rsidRPr="0061368B">
          <w:rPr>
            <w:rStyle w:val="Hyperlink"/>
            <w:rFonts w:ascii="Tahoma" w:hAnsi="Tahoma" w:cs="Tahoma"/>
            <w:sz w:val="19"/>
            <w:szCs w:val="19"/>
          </w:rPr>
          <w:t>https://support.microsoft.com</w:t>
        </w:r>
      </w:hyperlink>
      <w:r w:rsidRPr="0061368B">
        <w:rPr>
          <w:rFonts w:ascii="Tahoma" w:hAnsi="Tahoma" w:cs="Tahoma"/>
          <w:sz w:val="19"/>
          <w:szCs w:val="19"/>
        </w:rPr>
        <w:t>.</w:t>
      </w:r>
    </w:p>
    <w:p w:rsidR="003623D3" w:rsidRPr="0061368B" w:rsidRDefault="003623D3" w:rsidP="002342D6">
      <w:pPr>
        <w:pStyle w:val="ListParagraph"/>
        <w:numPr>
          <w:ilvl w:val="0"/>
          <w:numId w:val="33"/>
        </w:numPr>
        <w:spacing w:after="160"/>
        <w:ind w:left="1080"/>
        <w:rPr>
          <w:rFonts w:ascii="Tahoma" w:hAnsi="Tahoma" w:cs="Tahoma"/>
          <w:color w:val="000000"/>
          <w:sz w:val="19"/>
          <w:szCs w:val="19"/>
        </w:rPr>
      </w:pPr>
      <w:r w:rsidRPr="0061368B">
        <w:rPr>
          <w:rFonts w:ascii="Tahoma" w:hAnsi="Tahoma" w:cs="Tahoma"/>
          <w:b/>
          <w:bCs/>
          <w:sz w:val="19"/>
          <w:szCs w:val="19"/>
        </w:rPr>
        <w:t xml:space="preserve">Komponenten Dritter. </w:t>
      </w:r>
      <w:r w:rsidRPr="0061368B">
        <w:rPr>
          <w:rFonts w:ascii="Tahoma" w:hAnsi="Tahoma" w:cs="Tahoma"/>
          <w:sz w:val="19"/>
          <w:szCs w:val="19"/>
        </w:rPr>
        <w:t>Diese Software kann Komponenten Dritter enthalten, die gesonderten rechtlichen Anmerkungen oder anderen Verträgen unterliegen, wie in den der Software beiliegenden ThirdPartyNotices-Dateien ggf. beschrieben ist. Auch wenn diese Komponenten durch andere Verträge geregelt werden, gelten nachstehende Haftungsausschlüsse und Schadensbegrenzungen.</w:t>
      </w:r>
    </w:p>
    <w:p w:rsidR="003623D3" w:rsidRPr="0061368B" w:rsidRDefault="003623D3" w:rsidP="002342D6">
      <w:pPr>
        <w:pStyle w:val="ListParagraph"/>
        <w:spacing w:after="160"/>
        <w:ind w:left="1080"/>
        <w:rPr>
          <w:rFonts w:ascii="Tahoma" w:hAnsi="Tahoma" w:cs="Tahoma"/>
          <w:sz w:val="19"/>
          <w:szCs w:val="19"/>
        </w:rPr>
      </w:pPr>
      <w:r w:rsidRPr="0061368B">
        <w:rPr>
          <w:rFonts w:ascii="Tahoma" w:hAnsi="Tahoma" w:cs="Tahoma"/>
          <w:sz w:val="19"/>
          <w:szCs w:val="19"/>
        </w:rPr>
        <w:t xml:space="preserve">Die Software kann außerdem Komponenten enthalten, die nach Open-Source-Lizenzen mit Verfügbarkeitsverpflichtungen für Quellcode lizenziert sind. Kopien dieser Lizenzen sind gegebenenfalls in den ThirdPartyNotices-Dateien enthalten. Sie können diesen Quellcode von uns gemäß den jeweiligen Open-Source-Lizenzen erhalten, wie in den ThirdPartyNotices-Dateien dargelegt. Eine Kopie des Quellcodes finden Sie auch unter </w:t>
      </w:r>
      <w:hyperlink r:id="rId10" w:history="1">
        <w:r w:rsidRPr="0061368B">
          <w:rPr>
            <w:rStyle w:val="Hyperlink"/>
            <w:rFonts w:ascii="Tahoma" w:hAnsi="Tahoma" w:cs="Tahoma"/>
            <w:sz w:val="19"/>
            <w:szCs w:val="19"/>
          </w:rPr>
          <w:t>https://thirdpartysource.microsoft.com/</w:t>
        </w:r>
      </w:hyperlink>
      <w:r w:rsidRPr="0061368B">
        <w:rPr>
          <w:rFonts w:ascii="Tahoma" w:eastAsia="MS Mincho" w:hAnsi="Tahoma" w:cs="Tahoma"/>
          <w:sz w:val="19"/>
          <w:szCs w:val="19"/>
        </w:rPr>
        <w:t>.</w:t>
      </w:r>
    </w:p>
    <w:p w:rsidR="003623D3" w:rsidRPr="0061368B" w:rsidRDefault="003623D3" w:rsidP="002342D6">
      <w:pPr>
        <w:pStyle w:val="ListParagraph"/>
        <w:numPr>
          <w:ilvl w:val="0"/>
          <w:numId w:val="12"/>
        </w:numPr>
        <w:spacing w:after="160"/>
        <w:ind w:left="720"/>
        <w:rPr>
          <w:rFonts w:ascii="Tahoma" w:hAnsi="Tahoma" w:cs="Tahoma"/>
          <w:sz w:val="19"/>
          <w:szCs w:val="19"/>
        </w:rPr>
      </w:pPr>
      <w:r w:rsidRPr="0061368B">
        <w:rPr>
          <w:rFonts w:ascii="Tahoma" w:hAnsi="Tahoma" w:cs="Tahoma"/>
          <w:b/>
          <w:bCs/>
          <w:sz w:val="19"/>
          <w:szCs w:val="19"/>
        </w:rPr>
        <w:t>Paket-Manager.</w:t>
      </w:r>
      <w:r w:rsidRPr="0061368B">
        <w:rPr>
          <w:rFonts w:ascii="Tahoma" w:hAnsi="Tahoma" w:cs="Tahoma"/>
          <w:bCs/>
          <w:sz w:val="19"/>
          <w:szCs w:val="19"/>
        </w:rPr>
        <w:t xml:space="preserve"> </w:t>
      </w:r>
      <w:r w:rsidRPr="0061368B">
        <w:rPr>
          <w:rFonts w:ascii="Tahoma" w:hAnsi="Tahoma" w:cs="Tahoma"/>
          <w:sz w:val="19"/>
          <w:szCs w:val="19"/>
        </w:rPr>
        <w:t>Die Software enthält Paket-Manager wie NuGet, die es Ihnen ermöglichen, andere Softwarepakete von Microsoft und Dritten zur Nutzung mit Ihren Anwendungen herunterzuladen. Diese Pakete unterliegen ihren eigenen Lizenzen und nicht diesem Vertrag. Microsoft vertreibt, lizenziert und übernimmt keine Gewährleistung für Pakete Dritter.</w:t>
      </w:r>
    </w:p>
    <w:p w:rsidR="003623D3" w:rsidRPr="0061368B" w:rsidRDefault="003623D3" w:rsidP="002342D6">
      <w:pPr>
        <w:pStyle w:val="Heading1"/>
        <w:tabs>
          <w:tab w:val="clear" w:pos="450"/>
          <w:tab w:val="num" w:pos="360"/>
        </w:tabs>
        <w:spacing w:before="0" w:after="160"/>
        <w:ind w:left="360" w:hanging="360"/>
        <w:rPr>
          <w:b w:val="0"/>
        </w:rPr>
      </w:pPr>
      <w:r w:rsidRPr="0061368B">
        <w:t xml:space="preserve">DATEN. </w:t>
      </w:r>
      <w:r w:rsidRPr="0061368B">
        <w:rPr>
          <w:b w:val="0"/>
        </w:rPr>
        <w:t>Die Software kann Informationen über Sie und die Nutzung der Software erheben und diese an Microsoft übermitteln. Microsoft kann diese Informationen verwenden, um unsere Produkte und Dienste bereitzustellen und zu verbessern. Sie können sich gegen viele dieser Szenarios entscheiden, jedoch nicht gegen alle, wie in der Produktdokumentation beschrieben. Weitere Informationen zur Datenerhebung und -nutzung finden Sie in der Hilfe und in der Datenschutzerklärung von Microsoft unter</w:t>
      </w:r>
      <w:r w:rsidRPr="0061368B">
        <w:rPr>
          <w:b w:val="0"/>
          <w:bCs w:val="0"/>
        </w:rPr>
        <w:t xml:space="preserve"> </w:t>
      </w:r>
      <w:hyperlink r:id="rId11" w:history="1">
        <w:r w:rsidRPr="0061368B">
          <w:rPr>
            <w:rStyle w:val="Hyperlink"/>
            <w:rFonts w:cs="Tahoma"/>
            <w:b w:val="0"/>
          </w:rPr>
          <w:t>https://go.microsoft.com/fwlink/?LinkID=824704</w:t>
        </w:r>
      </w:hyperlink>
      <w:r w:rsidRPr="0061368B">
        <w:rPr>
          <w:b w:val="0"/>
        </w:rPr>
        <w:t>. Durch die Nutzung der Software erklären Sie sich mit diesen Praktiken einverstanden.</w:t>
      </w:r>
    </w:p>
    <w:p w:rsidR="003623D3" w:rsidRPr="00746659" w:rsidRDefault="003623D3" w:rsidP="002342D6">
      <w:pPr>
        <w:pStyle w:val="Heading1"/>
        <w:tabs>
          <w:tab w:val="clear" w:pos="450"/>
          <w:tab w:val="num" w:pos="360"/>
        </w:tabs>
        <w:spacing w:before="0" w:after="160"/>
        <w:ind w:left="360" w:hanging="360"/>
        <w:rPr>
          <w:b w:val="0"/>
        </w:rPr>
      </w:pPr>
      <w:r w:rsidRPr="00746659">
        <w:t xml:space="preserve">ZEITKRITISCHE SOFTWARE. </w:t>
      </w:r>
      <w:r w:rsidRPr="00746659">
        <w:rPr>
          <w:b w:val="0"/>
        </w:rPr>
        <w:t>Die Software ist zeitkritisch und kann nach dem in der Software angegebenen Datum nicht mehr ausgeführt werden; Ihr Lizenzrecht zur Nutzung der Software endet ebenfalls. Wenn die Software nicht mehr ausgeführt wird, können Sie möglicherweise nicht mehr auf Kopien Ihres Codes oder andere in der Software gespeicherte Daten zugreifen.</w:t>
      </w:r>
    </w:p>
    <w:p w:rsidR="003623D3" w:rsidRPr="00746659" w:rsidRDefault="003623D3" w:rsidP="002342D6">
      <w:pPr>
        <w:pStyle w:val="Heading1"/>
        <w:tabs>
          <w:tab w:val="clear" w:pos="450"/>
          <w:tab w:val="num" w:pos="360"/>
        </w:tabs>
        <w:spacing w:before="0" w:after="160"/>
        <w:ind w:left="360" w:hanging="360"/>
        <w:rPr>
          <w:b w:val="0"/>
        </w:rPr>
      </w:pPr>
      <w:r w:rsidRPr="00746659">
        <w:t xml:space="preserve">VORABVERSIONSSOFTWARE. </w:t>
      </w:r>
      <w:r w:rsidRPr="00746659">
        <w:rPr>
          <w:b w:val="0"/>
        </w:rPr>
        <w:t>Bei dieser Software handelt es sich um eine Vorabversion. Die Vorabversion funktioniert womöglich nicht ordnungsgemäß, oder ihre Funktionsweise kann sich von der der endgültigen Version unterscheiden. Microsoft ist berechtigt, Änderungen an der endgültigen Version für den Handel vorzunehmen. Microsoft ist nicht verpflichtet, Ihnen Wartung, technischen Support oder Updates für die Software zu liefern.</w:t>
      </w:r>
    </w:p>
    <w:p w:rsidR="003623D3" w:rsidRPr="00746659" w:rsidRDefault="003623D3" w:rsidP="002342D6">
      <w:pPr>
        <w:pStyle w:val="Heading1"/>
        <w:tabs>
          <w:tab w:val="clear" w:pos="450"/>
          <w:tab w:val="num" w:pos="360"/>
        </w:tabs>
        <w:spacing w:before="0" w:after="160"/>
        <w:ind w:left="360" w:hanging="360"/>
        <w:rPr>
          <w:b w:val="0"/>
        </w:rPr>
      </w:pPr>
      <w:r w:rsidRPr="00746659">
        <w:lastRenderedPageBreak/>
        <w:t xml:space="preserve">FEEDBACK. </w:t>
      </w:r>
      <w:r w:rsidRPr="00746659">
        <w:rPr>
          <w:b w:val="0"/>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rsidR="003623D3" w:rsidRPr="00746659" w:rsidRDefault="003623D3" w:rsidP="002342D6">
      <w:pPr>
        <w:pStyle w:val="Heading1"/>
        <w:tabs>
          <w:tab w:val="clear" w:pos="450"/>
          <w:tab w:val="num" w:pos="360"/>
        </w:tabs>
        <w:spacing w:before="0" w:after="160"/>
        <w:ind w:left="360" w:hanging="360"/>
        <w:rPr>
          <w:b w:val="0"/>
        </w:rPr>
      </w:pPr>
      <w:r w:rsidRPr="00746659">
        <w:t xml:space="preserve">GÜLTIGKEITSBEREICH DER LIZENZ. </w:t>
      </w:r>
      <w:r w:rsidRPr="00746659">
        <w:rPr>
          <w:b w:val="0"/>
        </w:rPr>
        <w:t>Die Software wird lizenziert, nicht verkauft. Dieser Vertrag gewährt Ihnen lediglich bestimmte Rechte zur Nutzung der Software. Alle anderen Rechte verbleiben bei Microsoft.</w:t>
      </w:r>
      <w:r w:rsidRPr="00746659">
        <w:t xml:space="preserve"> </w:t>
      </w:r>
      <w:r w:rsidRPr="00746659">
        <w:rPr>
          <w:b w:val="0"/>
        </w:rPr>
        <w:t>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rsidR="003623D3" w:rsidRPr="00746659" w:rsidRDefault="003623D3" w:rsidP="002342D6">
      <w:pPr>
        <w:pStyle w:val="Bullet4"/>
        <w:tabs>
          <w:tab w:val="clear" w:pos="1437"/>
          <w:tab w:val="num" w:pos="720"/>
        </w:tabs>
        <w:spacing w:before="0" w:after="160"/>
        <w:ind w:left="720" w:hanging="360"/>
      </w:pPr>
      <w:r w:rsidRPr="00746659">
        <w:t>technische Beschränkungen der Software zu umgehen,</w:t>
      </w:r>
    </w:p>
    <w:p w:rsidR="003623D3" w:rsidRPr="00746659" w:rsidRDefault="003623D3" w:rsidP="002342D6">
      <w:pPr>
        <w:pStyle w:val="Bullet4"/>
        <w:tabs>
          <w:tab w:val="clear" w:pos="1437"/>
          <w:tab w:val="num" w:pos="720"/>
        </w:tabs>
        <w:spacing w:before="0" w:after="160"/>
        <w:ind w:left="720" w:hanging="360"/>
        <w:rPr>
          <w:rFonts w:eastAsia="SimSun"/>
        </w:rPr>
      </w:pPr>
      <w:r w:rsidRPr="00746659">
        <w:rPr>
          <w:rFonts w:eastAsia="SimSun"/>
        </w:rPr>
        <w:t xml:space="preserve">die Software zurückzuentwickeln, zu dekompilieren oder zu disassemblieren </w:t>
      </w:r>
      <w:r w:rsidRPr="00746659">
        <w:t>oder anderweitig zu versuchen, den Quellcode für die Software abzuleiten, ausgenommen und nur in dem Maße, wie dies in den Lizenzierungsbestimmungen für Dritte vorgesehen ist, die die Verwendung bestimmter Open-Source-Komponenten regeln, die in der Software enthalten sein können</w:t>
      </w:r>
      <w:r w:rsidRPr="00746659">
        <w:rPr>
          <w:rFonts w:eastAsia="SimSun"/>
        </w:rPr>
        <w:t>,</w:t>
      </w:r>
    </w:p>
    <w:p w:rsidR="003623D3" w:rsidRPr="00746659" w:rsidRDefault="003623D3" w:rsidP="002342D6">
      <w:pPr>
        <w:pStyle w:val="Bullet4"/>
        <w:tabs>
          <w:tab w:val="clear" w:pos="1437"/>
          <w:tab w:val="num" w:pos="720"/>
        </w:tabs>
        <w:spacing w:before="0" w:after="160"/>
        <w:ind w:left="720" w:hanging="360"/>
      </w:pPr>
      <w:r w:rsidRPr="00746659">
        <w:t>Benachrichtigungen an Microsoft oder deren Lieferanten in der Software zu entfernen, zu minimieren, zu blockieren oder zu ändern,</w:t>
      </w:r>
    </w:p>
    <w:p w:rsidR="003623D3" w:rsidRPr="00746659" w:rsidRDefault="003623D3" w:rsidP="002342D6">
      <w:pPr>
        <w:pStyle w:val="Bullet4"/>
        <w:tabs>
          <w:tab w:val="clear" w:pos="1437"/>
          <w:tab w:val="num" w:pos="720"/>
        </w:tabs>
        <w:spacing w:before="0" w:after="160"/>
        <w:ind w:left="720" w:hanging="360"/>
      </w:pPr>
      <w:r w:rsidRPr="00746659">
        <w:t>die Software auf eine Weise zu verwenden, die gegen das Gesetz verstößt, oder</w:t>
      </w:r>
    </w:p>
    <w:p w:rsidR="003623D3" w:rsidRPr="00746659" w:rsidRDefault="003623D3" w:rsidP="002342D6">
      <w:pPr>
        <w:pStyle w:val="Bullet4"/>
        <w:tabs>
          <w:tab w:val="clear" w:pos="1437"/>
          <w:tab w:val="num" w:pos="720"/>
        </w:tabs>
        <w:spacing w:before="0" w:after="160"/>
        <w:ind w:left="720" w:hanging="360"/>
      </w:pPr>
      <w:r w:rsidRPr="00746659">
        <w:t xml:space="preserve">die Software gemeinsam zu nutzen, zu veröffentlichen oder zu verleihen oder die Software als eigenständiges Angebot für die Nutzung durch andere bereitzustellen oder die Software oder diesen Vertrag an Dritte abzutreten. </w:t>
      </w:r>
    </w:p>
    <w:p w:rsidR="003623D3" w:rsidRPr="00746659" w:rsidRDefault="003623D3" w:rsidP="002342D6">
      <w:pPr>
        <w:pStyle w:val="Heading1"/>
        <w:tabs>
          <w:tab w:val="clear" w:pos="450"/>
          <w:tab w:val="num" w:pos="360"/>
        </w:tabs>
        <w:spacing w:before="0" w:after="160"/>
        <w:ind w:left="360" w:hanging="360"/>
        <w:rPr>
          <w:rStyle w:val="Hyperlink"/>
          <w:rFonts w:eastAsia="SimSun" w:cs="Tahoma"/>
          <w:b w:val="0"/>
          <w:color w:val="auto"/>
        </w:rPr>
      </w:pPr>
      <w:r w:rsidRPr="00746659">
        <w:t xml:space="preserve">AUSFUHRBESCHRÄNKUNGEN. </w:t>
      </w:r>
      <w:r w:rsidRPr="00746659">
        <w:rPr>
          <w:b w:val="0"/>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2" w:history="1">
        <w:r w:rsidRPr="00746659">
          <w:rPr>
            <w:rStyle w:val="Hyperlink"/>
            <w:rFonts w:eastAsia="SimSun" w:cs="Tahoma"/>
            <w:b w:val="0"/>
          </w:rPr>
          <w:t>www.microsoft.com/exporting</w:t>
        </w:r>
      </w:hyperlink>
      <w:r w:rsidRPr="00746659">
        <w:rPr>
          <w:b w:val="0"/>
        </w:rPr>
        <w:t>.</w:t>
      </w:r>
    </w:p>
    <w:p w:rsidR="003623D3" w:rsidRPr="00746659" w:rsidRDefault="003623D3" w:rsidP="002342D6">
      <w:pPr>
        <w:pStyle w:val="Heading1"/>
        <w:tabs>
          <w:tab w:val="clear" w:pos="450"/>
          <w:tab w:val="num" w:pos="360"/>
        </w:tabs>
        <w:spacing w:before="0" w:after="160"/>
        <w:ind w:left="360" w:hanging="360"/>
        <w:rPr>
          <w:b w:val="0"/>
        </w:rPr>
      </w:pPr>
      <w:r w:rsidRPr="00746659">
        <w:t xml:space="preserve">SUPPORT. </w:t>
      </w:r>
      <w:r w:rsidRPr="00746659">
        <w:rPr>
          <w:b w:val="0"/>
        </w:rPr>
        <w:t>Da diese Software „wie besehen“ bereitgestellt wird, stellen wir möglicherweise keine dedizierten Supportservices bereit.</w:t>
      </w:r>
    </w:p>
    <w:p w:rsidR="003623D3" w:rsidRPr="00746659" w:rsidRDefault="003623D3" w:rsidP="002342D6">
      <w:pPr>
        <w:pStyle w:val="Heading1"/>
        <w:tabs>
          <w:tab w:val="clear" w:pos="450"/>
          <w:tab w:val="num" w:pos="360"/>
        </w:tabs>
        <w:spacing w:before="0" w:after="160"/>
        <w:ind w:left="360" w:hanging="360"/>
        <w:rPr>
          <w:b w:val="0"/>
        </w:rPr>
      </w:pPr>
      <w:r w:rsidRPr="00746659">
        <w:t xml:space="preserve">GESAMTER VERTRAG. </w:t>
      </w:r>
      <w:r w:rsidRPr="00746659">
        <w:rPr>
          <w:b w:val="0"/>
        </w:rPr>
        <w:t>Dieser Vertrag sowie die Bestimmungen für von Ihnen genutzte Ergänzungen, Updates, internetbasierte Dienste und Supportservices stellen den gesamten Vertrag über die Software und die Supportservices dar.</w:t>
      </w:r>
    </w:p>
    <w:p w:rsidR="003623D3" w:rsidRPr="00746659" w:rsidRDefault="003623D3" w:rsidP="002342D6">
      <w:pPr>
        <w:pStyle w:val="Heading1"/>
        <w:tabs>
          <w:tab w:val="clear" w:pos="450"/>
          <w:tab w:val="num" w:pos="360"/>
        </w:tabs>
        <w:spacing w:before="0" w:after="160"/>
        <w:ind w:left="360" w:hanging="360"/>
        <w:rPr>
          <w:rFonts w:eastAsia="SimSun"/>
          <w:b w:val="0"/>
        </w:rPr>
      </w:pPr>
      <w:r w:rsidRPr="00746659">
        <w:rPr>
          <w:rFonts w:eastAsia="SimSun"/>
        </w:rPr>
        <w:t xml:space="preserve">ANWENDBARES RECHT. </w:t>
      </w:r>
      <w:r w:rsidRPr="00746659">
        <w:rPr>
          <w:b w:val="0"/>
        </w:rPr>
        <w:t>Wenn Sie die Software in den USA erworben haben, gelten für die Auslegung und die Ansprüche aus Verletzung dieses Vertrags die Gesetze des Bundesstaats Washington und für alle anderen Ansprüche die Gesetze Ihres Wohnsitzstaats. Wenn Sie die Software in einem anderen Land erworben haben, gelten die Gesetze des betreffenden Lands.</w:t>
      </w:r>
    </w:p>
    <w:p w:rsidR="003623D3" w:rsidRPr="00746659" w:rsidRDefault="003623D3" w:rsidP="002342D6">
      <w:pPr>
        <w:pStyle w:val="Heading1"/>
        <w:tabs>
          <w:tab w:val="clear" w:pos="450"/>
          <w:tab w:val="num" w:pos="360"/>
        </w:tabs>
        <w:spacing w:before="0" w:after="160"/>
        <w:ind w:left="360" w:hanging="360"/>
        <w:rPr>
          <w:b w:val="0"/>
        </w:rPr>
      </w:pPr>
      <w:r w:rsidRPr="00746659">
        <w:t xml:space="preserve">VERBRAUCHERRECHTE; REGIONALE VARIATIONEN. </w:t>
      </w:r>
      <w:r w:rsidRPr="00746659">
        <w:rPr>
          <w:b w:val="0"/>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3623D3" w:rsidRPr="00746659" w:rsidRDefault="003623D3" w:rsidP="002342D6">
      <w:pPr>
        <w:pStyle w:val="Heading2"/>
        <w:numPr>
          <w:ilvl w:val="0"/>
          <w:numId w:val="32"/>
        </w:numPr>
        <w:spacing w:before="0" w:after="160"/>
        <w:rPr>
          <w:b w:val="0"/>
        </w:rPr>
      </w:pPr>
      <w:r w:rsidRPr="00746659">
        <w:t xml:space="preserve">Australien. </w:t>
      </w:r>
      <w:r w:rsidRPr="00746659">
        <w:rPr>
          <w:b w:val="0"/>
        </w:rPr>
        <w:t>Nach dem Australian Consumer Law gelten gesetzliche Garantien, und es besteht an keiner Stelle dieses Vertrags die Absicht, diese Rechte einzuschränken.</w:t>
      </w:r>
    </w:p>
    <w:p w:rsidR="003623D3" w:rsidRPr="00746659" w:rsidRDefault="003623D3" w:rsidP="002342D6">
      <w:pPr>
        <w:pStyle w:val="Heading2"/>
        <w:numPr>
          <w:ilvl w:val="0"/>
          <w:numId w:val="32"/>
        </w:numPr>
        <w:spacing w:before="0" w:after="160"/>
        <w:rPr>
          <w:b w:val="0"/>
        </w:rPr>
      </w:pPr>
      <w:r w:rsidRPr="00746659">
        <w:t xml:space="preserve">Kanada. </w:t>
      </w:r>
      <w:r w:rsidRPr="00746659">
        <w:rPr>
          <w:b w:val="0"/>
        </w:rPr>
        <w:t xml:space="preserve">Wenn Sie diese Software in Kanada erworben haben, können Sie den Erhalt von Updates auf Ihrem Gerät stoppen, indem Sie das Feature für automatische Updates ausschalten, Ihr Gerät vom </w:t>
      </w:r>
      <w:r w:rsidRPr="00746659">
        <w:rPr>
          <w:b w:val="0"/>
        </w:rPr>
        <w:lastRenderedPageBreak/>
        <w:t>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rsidR="003623D3" w:rsidRPr="00746659" w:rsidRDefault="003623D3" w:rsidP="002342D6">
      <w:pPr>
        <w:pStyle w:val="Heading2"/>
        <w:numPr>
          <w:ilvl w:val="0"/>
          <w:numId w:val="32"/>
        </w:numPr>
        <w:spacing w:before="0" w:after="160"/>
      </w:pPr>
      <w:r w:rsidRPr="00746659">
        <w:t>Deutschland und Österreich.</w:t>
      </w:r>
    </w:p>
    <w:p w:rsidR="003623D3" w:rsidRPr="00746659" w:rsidRDefault="003623D3" w:rsidP="002342D6">
      <w:pPr>
        <w:spacing w:before="0" w:after="160"/>
        <w:ind w:left="1080" w:hanging="363"/>
      </w:pPr>
      <w:r w:rsidRPr="00746659">
        <w:rPr>
          <w:b/>
          <w:bCs/>
        </w:rPr>
        <w:t>(i)</w:t>
      </w:r>
      <w:r w:rsidRPr="00746659">
        <w:rPr>
          <w:b/>
          <w:bCs/>
        </w:rPr>
        <w:tab/>
        <w:t>Garantie.</w:t>
      </w:r>
      <w:r w:rsidRPr="00746659">
        <w:t xml:space="preserve"> Die ordnungsgemäß lizenzierte Software wird im Wesentlichen wie in den Microsoft-Materialien, die der Software beiliegen, beschrieben arbeiten. Microsoft übernimmt jedoch keine vertragliche Garantie in Bezug auf die lizenzierte Software.</w:t>
      </w:r>
    </w:p>
    <w:p w:rsidR="003623D3" w:rsidRPr="00746659" w:rsidRDefault="003623D3" w:rsidP="002342D6">
      <w:pPr>
        <w:spacing w:before="0" w:after="160"/>
        <w:ind w:left="1080" w:hanging="363"/>
      </w:pPr>
      <w:r w:rsidRPr="00746659">
        <w:rPr>
          <w:b/>
          <w:bCs/>
        </w:rPr>
        <w:t>(ii)</w:t>
      </w:r>
      <w:r w:rsidRPr="00746659">
        <w:rPr>
          <w:b/>
          <w:bCs/>
        </w:rPr>
        <w:tab/>
        <w:t>Haftungsbeschränkung.</w:t>
      </w:r>
      <w:r w:rsidRPr="00746659">
        <w:t xml:space="preserve"> Bei Vorsatz, grober Fahrlässigkeit, bei Ansprüchen nach dem Produkthaftungsgesetz sowie bei Verletzung von Leben, Körper oder Gesundheit haftet Microsoft nach den gesetzlichen Bestimmungen.</w:t>
      </w:r>
    </w:p>
    <w:p w:rsidR="003623D3" w:rsidRPr="00746659" w:rsidRDefault="003623D3" w:rsidP="00F404FA">
      <w:pPr>
        <w:pStyle w:val="Heading1"/>
        <w:numPr>
          <w:ilvl w:val="0"/>
          <w:numId w:val="0"/>
        </w:numPr>
        <w:spacing w:before="0" w:after="160"/>
        <w:ind w:left="717"/>
        <w:rPr>
          <w:b w:val="0"/>
        </w:rPr>
      </w:pPr>
      <w:r w:rsidRPr="00746659">
        <w:rPr>
          <w:b w:val="0"/>
        </w:rPr>
        <w:t>Nach Maßgabe vorstehender Klausel (</w:t>
      </w:r>
      <w:r w:rsidR="00F404FA">
        <w:rPr>
          <w:b w:val="0"/>
        </w:rPr>
        <w:t>ii</w:t>
      </w:r>
      <w:r w:rsidRPr="00746659">
        <w:rPr>
          <w:b w:val="0"/>
        </w:rPr>
        <w:t>) haftet Microsoft nur für leichte Fahrlässigkeit, wenn Microsoft gegen solche vertragswesentlichen Pflichten verstößt, deren Erfüllung die ordnungsgemäße Erfüllung dieses Vertrags erleichtert und deren Verletzung den Zweck dieses Vertrags und die Einhaltung gesetzlicher Vorgaben gefährden würde, auf die eine Partei stets vertrauen kann (so genannte „Kardinalpflichten“). In anderen Fällen von leichter Fahrlässigkeit haftet Microsoft nicht.</w:t>
      </w:r>
    </w:p>
    <w:p w:rsidR="003623D3" w:rsidRPr="00746659" w:rsidRDefault="003623D3" w:rsidP="002342D6">
      <w:pPr>
        <w:pStyle w:val="Heading1"/>
        <w:tabs>
          <w:tab w:val="clear" w:pos="450"/>
          <w:tab w:val="num" w:pos="360"/>
        </w:tabs>
        <w:spacing w:before="0" w:after="160"/>
        <w:ind w:left="360" w:hanging="360"/>
      </w:pPr>
      <w:r w:rsidRPr="00746659">
        <w:t>AUSSCHLUSS VON GARANTIEN. DIE SOFTWARE WIRD „WIE BESEHEN“ LIZENZIERT. SIE TRAGEN DAS MIT DER VERWENDUNG VERBUNDENE RISIKO. MICROSOFT GEWÄHRT KEINE AUSDRÜCKLICHEN GEWÄHRLEISTUNGEN ODER GARANTIEN. IN DEM NACH IHREM ÖRTLICH ANWENDBAREN RECHT ZULÄSSIGEN UMFANG SCHLIESST MICROSOFT KONKLUDENTE GARANTIEN DER HANDELSÜBLICHKEIT, EIGNUNG FÜR EINEN BESTIMMTEN ZWECK UND NICHTVERLETZUNG VON RECHTEN DRITTER AUS.</w:t>
      </w:r>
    </w:p>
    <w:p w:rsidR="003623D3" w:rsidRPr="00746659" w:rsidRDefault="003623D3" w:rsidP="002342D6">
      <w:pPr>
        <w:pStyle w:val="Heading1"/>
        <w:tabs>
          <w:tab w:val="clear" w:pos="450"/>
          <w:tab w:val="num" w:pos="360"/>
        </w:tabs>
        <w:spacing w:before="0" w:after="160"/>
        <w:ind w:left="360" w:hanging="360"/>
      </w:pPr>
      <w:r w:rsidRPr="00746659">
        <w:rPr>
          <w:rFonts w:eastAsia="SimSun"/>
        </w:rPr>
        <w:t>SCHADENSBEGRENZUNG</w:t>
      </w:r>
      <w:r w:rsidRPr="00746659">
        <w:t>. SIE KÖNNEN VON MICROSOFT UND DEREN LIEFERANTEN NUR EINEN ERSATZ FÜR DIREKTE SCHÄDEN BIS ZU EINEM BETRAG VON 5 US-DOLLAR ERHALTEN. SIE KÖNNEN KEINEN ERSATZ FÜR ANDERE SCHÄDEN ERHALTEN, EINSCHLIESSLICH FOLGESCHÄDEN, SCHÄDEN AUS ENTGANGENEM GEWINN, SPEZIELLER, INDIREKTER ODER ZUFÄLLIGER SCHÄDEN.</w:t>
      </w:r>
    </w:p>
    <w:p w:rsidR="003623D3" w:rsidRPr="00E32A9A" w:rsidRDefault="003623D3" w:rsidP="00F25901">
      <w:pPr>
        <w:pStyle w:val="Body1"/>
        <w:spacing w:before="0" w:after="160"/>
        <w:ind w:left="360"/>
      </w:pPr>
      <w:r w:rsidRPr="00E32A9A">
        <w:t>Diese Einschränkung gilt für (a) jeden Gegenstand im Zusammenhang mit der Software, Diensten, Inhalten (einschließlich Code) auf Internetseiten von Drittanbietern oder Anwendungen von Dritten und (b)</w:t>
      </w:r>
      <w:r w:rsidR="00F25901">
        <w:t> </w:t>
      </w:r>
      <w:r w:rsidRPr="00E32A9A">
        <w:t>Ansprüche aus Vertragsverletzungen, Verletzungen der Garantie oder der Gewährleistung, verschuldensunabhängiger Haftung, Fahrlässigkeit oder anderen unerlaubten Handlungen im durch das anwendbare Recht zugelassenen Umfang.</w:t>
      </w:r>
    </w:p>
    <w:p w:rsidR="003623D3" w:rsidRPr="00746659" w:rsidRDefault="003623D3" w:rsidP="002342D6">
      <w:pPr>
        <w:spacing w:before="0" w:after="160"/>
        <w:ind w:left="360"/>
      </w:pPr>
      <w:r w:rsidRPr="00746659">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 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3623D3" w:rsidRPr="00746659" w:rsidRDefault="003623D3" w:rsidP="00361787">
      <w:pPr>
        <w:spacing w:before="0" w:after="160"/>
        <w:ind w:hanging="357"/>
        <w:rPr>
          <w:lang w:val="en-US"/>
        </w:rPr>
      </w:pPr>
      <w:r w:rsidRPr="00746659">
        <w:rPr>
          <w:rFonts w:eastAsia="Times New Roman"/>
          <w:color w:val="000000"/>
          <w:lang w:val="en-US"/>
        </w:rPr>
        <w:t xml:space="preserve">EULAID: </w:t>
      </w:r>
      <w:r w:rsidRPr="00746659">
        <w:rPr>
          <w:rFonts w:eastAsia="Times New Roman"/>
          <w:color w:val="1F3864"/>
          <w:lang w:val="en-US"/>
        </w:rPr>
        <w:t>VS2017_CTP_EVAL_VS_</w:t>
      </w:r>
      <w:r w:rsidR="00BA034E">
        <w:rPr>
          <w:rFonts w:eastAsia="Times New Roman"/>
          <w:color w:val="1F3864"/>
          <w:lang w:val="en-US"/>
        </w:rPr>
        <w:t>DEU</w:t>
      </w:r>
      <w:bookmarkStart w:id="0" w:name="_GoBack"/>
      <w:bookmarkEnd w:id="0"/>
      <w:r w:rsidRPr="00746659">
        <w:rPr>
          <w:rFonts w:eastAsia="Times New Roman"/>
          <w:color w:val="1F3864"/>
          <w:lang w:val="en-US"/>
        </w:rPr>
        <w:t>.2 </w:t>
      </w:r>
    </w:p>
    <w:sectPr w:rsidR="003623D3" w:rsidRPr="00746659" w:rsidSect="00F24BD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E0" w:rsidRDefault="00F318E0" w:rsidP="00BD38AF">
      <w:pPr>
        <w:spacing w:before="0" w:after="0"/>
      </w:pPr>
      <w:r>
        <w:separator/>
      </w:r>
    </w:p>
  </w:endnote>
  <w:endnote w:type="continuationSeparator" w:id="0">
    <w:p w:rsidR="00F318E0" w:rsidRDefault="00F318E0" w:rsidP="00BD38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E0" w:rsidRDefault="00F318E0" w:rsidP="00BD38AF">
      <w:pPr>
        <w:spacing w:before="0" w:after="0"/>
      </w:pPr>
      <w:r>
        <w:separator/>
      </w:r>
    </w:p>
  </w:footnote>
  <w:footnote w:type="continuationSeparator" w:id="0">
    <w:p w:rsidR="00F318E0" w:rsidRDefault="00F318E0" w:rsidP="00BD38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D3" w:rsidRDefault="003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2CD51C57"/>
    <w:multiLevelType w:val="multilevel"/>
    <w:tmpl w:val="2D78A1BC"/>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254B0"/>
    <w:rsid w:val="00035AD8"/>
    <w:rsid w:val="000412E4"/>
    <w:rsid w:val="000475AB"/>
    <w:rsid w:val="00055A8F"/>
    <w:rsid w:val="000603AE"/>
    <w:rsid w:val="000632D9"/>
    <w:rsid w:val="00063FB4"/>
    <w:rsid w:val="00073C7B"/>
    <w:rsid w:val="00074A31"/>
    <w:rsid w:val="00082790"/>
    <w:rsid w:val="000B2967"/>
    <w:rsid w:val="000B6D90"/>
    <w:rsid w:val="000D5258"/>
    <w:rsid w:val="000D57A3"/>
    <w:rsid w:val="000E775D"/>
    <w:rsid w:val="000F22A4"/>
    <w:rsid w:val="00100963"/>
    <w:rsid w:val="00102582"/>
    <w:rsid w:val="00125BC3"/>
    <w:rsid w:val="00133B88"/>
    <w:rsid w:val="00136B59"/>
    <w:rsid w:val="001372CC"/>
    <w:rsid w:val="00141F26"/>
    <w:rsid w:val="00145590"/>
    <w:rsid w:val="00153AE0"/>
    <w:rsid w:val="00165465"/>
    <w:rsid w:val="001977F3"/>
    <w:rsid w:val="001C078A"/>
    <w:rsid w:val="001C2A65"/>
    <w:rsid w:val="001C2CBE"/>
    <w:rsid w:val="001E34BE"/>
    <w:rsid w:val="001E552B"/>
    <w:rsid w:val="001F7F3D"/>
    <w:rsid w:val="00200841"/>
    <w:rsid w:val="00230B59"/>
    <w:rsid w:val="002342D6"/>
    <w:rsid w:val="00236D9E"/>
    <w:rsid w:val="0024138C"/>
    <w:rsid w:val="00243B16"/>
    <w:rsid w:val="002728EA"/>
    <w:rsid w:val="00290244"/>
    <w:rsid w:val="00290ACF"/>
    <w:rsid w:val="002917D4"/>
    <w:rsid w:val="00292100"/>
    <w:rsid w:val="0029683E"/>
    <w:rsid w:val="00296BEA"/>
    <w:rsid w:val="00296CD3"/>
    <w:rsid w:val="002B30DE"/>
    <w:rsid w:val="002B3B99"/>
    <w:rsid w:val="002B61B3"/>
    <w:rsid w:val="002D6E56"/>
    <w:rsid w:val="002F07F5"/>
    <w:rsid w:val="00314D64"/>
    <w:rsid w:val="00331E93"/>
    <w:rsid w:val="003365BA"/>
    <w:rsid w:val="00336770"/>
    <w:rsid w:val="0035032F"/>
    <w:rsid w:val="00361787"/>
    <w:rsid w:val="003623D3"/>
    <w:rsid w:val="00376644"/>
    <w:rsid w:val="00396E3C"/>
    <w:rsid w:val="003B0E22"/>
    <w:rsid w:val="003B5050"/>
    <w:rsid w:val="003C37A1"/>
    <w:rsid w:val="003D1BE4"/>
    <w:rsid w:val="003D6326"/>
    <w:rsid w:val="003E1F6C"/>
    <w:rsid w:val="003F63B4"/>
    <w:rsid w:val="00400EAC"/>
    <w:rsid w:val="00407C5A"/>
    <w:rsid w:val="00407CCA"/>
    <w:rsid w:val="0041396C"/>
    <w:rsid w:val="00417214"/>
    <w:rsid w:val="00431BCC"/>
    <w:rsid w:val="004446EF"/>
    <w:rsid w:val="004737C9"/>
    <w:rsid w:val="004B5229"/>
    <w:rsid w:val="004C3AAC"/>
    <w:rsid w:val="004D0E9F"/>
    <w:rsid w:val="004D755A"/>
    <w:rsid w:val="004E126F"/>
    <w:rsid w:val="00510656"/>
    <w:rsid w:val="005114EC"/>
    <w:rsid w:val="00536564"/>
    <w:rsid w:val="00536DF3"/>
    <w:rsid w:val="00541550"/>
    <w:rsid w:val="00543875"/>
    <w:rsid w:val="005506A4"/>
    <w:rsid w:val="00551D5D"/>
    <w:rsid w:val="00561C14"/>
    <w:rsid w:val="00563EFB"/>
    <w:rsid w:val="005A0C75"/>
    <w:rsid w:val="005A43CF"/>
    <w:rsid w:val="005B2BF0"/>
    <w:rsid w:val="005C17E8"/>
    <w:rsid w:val="005C4E42"/>
    <w:rsid w:val="005D08BE"/>
    <w:rsid w:val="005E3CEB"/>
    <w:rsid w:val="005F4798"/>
    <w:rsid w:val="0061368B"/>
    <w:rsid w:val="006265EF"/>
    <w:rsid w:val="00636B2C"/>
    <w:rsid w:val="006502F4"/>
    <w:rsid w:val="00661CED"/>
    <w:rsid w:val="0066355C"/>
    <w:rsid w:val="00667F7B"/>
    <w:rsid w:val="006804B8"/>
    <w:rsid w:val="006833EF"/>
    <w:rsid w:val="006A74DC"/>
    <w:rsid w:val="006C501F"/>
    <w:rsid w:val="006D554B"/>
    <w:rsid w:val="006E6981"/>
    <w:rsid w:val="006F342A"/>
    <w:rsid w:val="0070256E"/>
    <w:rsid w:val="0070661B"/>
    <w:rsid w:val="00707CD2"/>
    <w:rsid w:val="007133B3"/>
    <w:rsid w:val="007134FC"/>
    <w:rsid w:val="0071680D"/>
    <w:rsid w:val="00716E72"/>
    <w:rsid w:val="00732DD7"/>
    <w:rsid w:val="00733086"/>
    <w:rsid w:val="00740F6E"/>
    <w:rsid w:val="00746659"/>
    <w:rsid w:val="00754170"/>
    <w:rsid w:val="007579C4"/>
    <w:rsid w:val="007867E0"/>
    <w:rsid w:val="007954AD"/>
    <w:rsid w:val="007B3889"/>
    <w:rsid w:val="007C26D6"/>
    <w:rsid w:val="007C6A8E"/>
    <w:rsid w:val="007D4511"/>
    <w:rsid w:val="007E5B13"/>
    <w:rsid w:val="007F1DF1"/>
    <w:rsid w:val="007F3D91"/>
    <w:rsid w:val="007F4010"/>
    <w:rsid w:val="008034A9"/>
    <w:rsid w:val="008060BE"/>
    <w:rsid w:val="00824218"/>
    <w:rsid w:val="0083050A"/>
    <w:rsid w:val="008352E8"/>
    <w:rsid w:val="00845E6D"/>
    <w:rsid w:val="0084687F"/>
    <w:rsid w:val="008640F1"/>
    <w:rsid w:val="008668FC"/>
    <w:rsid w:val="00870029"/>
    <w:rsid w:val="008723A0"/>
    <w:rsid w:val="00894F25"/>
    <w:rsid w:val="0089566E"/>
    <w:rsid w:val="008A1EEB"/>
    <w:rsid w:val="008E0C30"/>
    <w:rsid w:val="008F7990"/>
    <w:rsid w:val="009009D1"/>
    <w:rsid w:val="00902CD0"/>
    <w:rsid w:val="009206E8"/>
    <w:rsid w:val="009254AF"/>
    <w:rsid w:val="00946C43"/>
    <w:rsid w:val="009476D1"/>
    <w:rsid w:val="00951E13"/>
    <w:rsid w:val="009721E3"/>
    <w:rsid w:val="00972C90"/>
    <w:rsid w:val="00985582"/>
    <w:rsid w:val="00990706"/>
    <w:rsid w:val="009A1F56"/>
    <w:rsid w:val="009B07F5"/>
    <w:rsid w:val="009D0F96"/>
    <w:rsid w:val="009D3BEB"/>
    <w:rsid w:val="009D5775"/>
    <w:rsid w:val="009E4EA1"/>
    <w:rsid w:val="009F2253"/>
    <w:rsid w:val="009F489C"/>
    <w:rsid w:val="00A038C5"/>
    <w:rsid w:val="00A1448B"/>
    <w:rsid w:val="00A20DDF"/>
    <w:rsid w:val="00A26A74"/>
    <w:rsid w:val="00A36DC2"/>
    <w:rsid w:val="00A45676"/>
    <w:rsid w:val="00A73297"/>
    <w:rsid w:val="00A850C7"/>
    <w:rsid w:val="00A86FBD"/>
    <w:rsid w:val="00AA0100"/>
    <w:rsid w:val="00AB450C"/>
    <w:rsid w:val="00AB7F0C"/>
    <w:rsid w:val="00AC27F9"/>
    <w:rsid w:val="00AD22E2"/>
    <w:rsid w:val="00AD40A3"/>
    <w:rsid w:val="00AD48A4"/>
    <w:rsid w:val="00AD4F3A"/>
    <w:rsid w:val="00AD545F"/>
    <w:rsid w:val="00AE70A0"/>
    <w:rsid w:val="00B16B8E"/>
    <w:rsid w:val="00B17EE2"/>
    <w:rsid w:val="00B27648"/>
    <w:rsid w:val="00B32E69"/>
    <w:rsid w:val="00B55156"/>
    <w:rsid w:val="00B7549C"/>
    <w:rsid w:val="00B93B4D"/>
    <w:rsid w:val="00BA034E"/>
    <w:rsid w:val="00BD38AF"/>
    <w:rsid w:val="00BE2E12"/>
    <w:rsid w:val="00C012A0"/>
    <w:rsid w:val="00C0697E"/>
    <w:rsid w:val="00C21CF3"/>
    <w:rsid w:val="00C249B7"/>
    <w:rsid w:val="00C41708"/>
    <w:rsid w:val="00C42B00"/>
    <w:rsid w:val="00C56CF0"/>
    <w:rsid w:val="00C66EC7"/>
    <w:rsid w:val="00C7673D"/>
    <w:rsid w:val="00C8335E"/>
    <w:rsid w:val="00C852AF"/>
    <w:rsid w:val="00CA3ED0"/>
    <w:rsid w:val="00CB1CFE"/>
    <w:rsid w:val="00CB3386"/>
    <w:rsid w:val="00CC0F55"/>
    <w:rsid w:val="00CD4F20"/>
    <w:rsid w:val="00CE75EA"/>
    <w:rsid w:val="00CF725A"/>
    <w:rsid w:val="00D015E8"/>
    <w:rsid w:val="00D028FC"/>
    <w:rsid w:val="00D11AC6"/>
    <w:rsid w:val="00D123AC"/>
    <w:rsid w:val="00D154B4"/>
    <w:rsid w:val="00D478B0"/>
    <w:rsid w:val="00D5332D"/>
    <w:rsid w:val="00D5366A"/>
    <w:rsid w:val="00D64C29"/>
    <w:rsid w:val="00D76620"/>
    <w:rsid w:val="00D8568B"/>
    <w:rsid w:val="00DB152D"/>
    <w:rsid w:val="00DB15B2"/>
    <w:rsid w:val="00DD7503"/>
    <w:rsid w:val="00E16347"/>
    <w:rsid w:val="00E16D44"/>
    <w:rsid w:val="00E32A9A"/>
    <w:rsid w:val="00E35AB1"/>
    <w:rsid w:val="00E4579E"/>
    <w:rsid w:val="00E5502E"/>
    <w:rsid w:val="00E8156A"/>
    <w:rsid w:val="00E858A3"/>
    <w:rsid w:val="00E926D0"/>
    <w:rsid w:val="00EA2EBE"/>
    <w:rsid w:val="00EB70C9"/>
    <w:rsid w:val="00EC19D1"/>
    <w:rsid w:val="00EC7E1B"/>
    <w:rsid w:val="00ED449D"/>
    <w:rsid w:val="00EF687F"/>
    <w:rsid w:val="00F0222A"/>
    <w:rsid w:val="00F24BD5"/>
    <w:rsid w:val="00F25901"/>
    <w:rsid w:val="00F318E0"/>
    <w:rsid w:val="00F31D78"/>
    <w:rsid w:val="00F361EA"/>
    <w:rsid w:val="00F404FA"/>
    <w:rsid w:val="00F439D1"/>
    <w:rsid w:val="00F5477C"/>
    <w:rsid w:val="00F547CF"/>
    <w:rsid w:val="00F77B4C"/>
    <w:rsid w:val="00F81F46"/>
    <w:rsid w:val="00F85139"/>
    <w:rsid w:val="00F91367"/>
    <w:rsid w:val="00F92856"/>
    <w:rsid w:val="00FA1BA1"/>
    <w:rsid w:val="00FA7239"/>
    <w:rsid w:val="00FB37B3"/>
    <w:rsid w:val="00FD5764"/>
    <w:rsid w:val="00FE347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B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zh-CN" w:bidi="he-IL"/>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ind w:left="717"/>
    </w:pPr>
    <w:rPr>
      <w:rFonts w:ascii="Tahoma" w:eastAsia="MS Mincho" w:hAnsi="Tahoma" w:cs="Tahoma"/>
      <w:sz w:val="19"/>
      <w:szCs w:val="19"/>
      <w:lang w:val="de-DE" w:eastAsia="de-DE" w:bidi="ar-SA"/>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1C14"/>
    <w:rPr>
      <w:rFonts w:ascii="Tahoma" w:eastAsia="MS Mincho" w:hAnsi="Tahoma" w:cs="Tahoma"/>
      <w:b/>
      <w:bCs/>
      <w:sz w:val="19"/>
      <w:szCs w:val="19"/>
    </w:rPr>
  </w:style>
  <w:style w:type="character" w:customStyle="1" w:styleId="Heading2Char">
    <w:name w:val="Heading 2 Char"/>
    <w:link w:val="Heading2"/>
    <w:uiPriority w:val="99"/>
    <w:locked/>
    <w:rsid w:val="00561C14"/>
    <w:rPr>
      <w:rFonts w:ascii="Tahoma" w:eastAsia="MS Mincho" w:hAnsi="Tahoma" w:cs="Tahoma"/>
      <w:b/>
      <w:bCs/>
      <w:sz w:val="19"/>
      <w:szCs w:val="19"/>
    </w:rPr>
  </w:style>
  <w:style w:type="character" w:customStyle="1" w:styleId="Heading3Char">
    <w:name w:val="Heading 3 Char"/>
    <w:link w:val="Heading3"/>
    <w:uiPriority w:val="99"/>
    <w:locked/>
    <w:rsid w:val="00561C14"/>
    <w:rPr>
      <w:rFonts w:ascii="Tahoma" w:eastAsia="MS Mincho" w:hAnsi="Tahoma" w:cs="Tahoma"/>
      <w:sz w:val="19"/>
      <w:szCs w:val="19"/>
    </w:rPr>
  </w:style>
  <w:style w:type="character" w:customStyle="1" w:styleId="Heading4Char">
    <w:name w:val="Heading 4 Char"/>
    <w:link w:val="Heading4"/>
    <w:uiPriority w:val="99"/>
    <w:locked/>
    <w:rsid w:val="00561C14"/>
    <w:rPr>
      <w:rFonts w:ascii="Tahoma" w:eastAsia="MS Mincho" w:hAnsi="Tahoma" w:cs="Tahoma"/>
      <w:sz w:val="19"/>
      <w:szCs w:val="19"/>
    </w:rPr>
  </w:style>
  <w:style w:type="character" w:customStyle="1" w:styleId="Heading5Char">
    <w:name w:val="Heading 5 Char"/>
    <w:link w:val="Heading5"/>
    <w:uiPriority w:val="99"/>
    <w:locked/>
    <w:rsid w:val="00561C14"/>
    <w:rPr>
      <w:rFonts w:ascii="Tahoma" w:eastAsia="MS Mincho" w:hAnsi="Tahoma" w:cs="Tahoma"/>
      <w:sz w:val="19"/>
      <w:szCs w:val="19"/>
    </w:rPr>
  </w:style>
  <w:style w:type="character" w:customStyle="1" w:styleId="Heading6Char">
    <w:name w:val="Heading 6 Char"/>
    <w:link w:val="Heading6"/>
    <w:uiPriority w:val="99"/>
    <w:locked/>
    <w:rsid w:val="00561C14"/>
    <w:rPr>
      <w:rFonts w:ascii="Tahoma" w:eastAsia="MS Mincho" w:hAnsi="Tahoma" w:cs="Tahoma"/>
      <w:sz w:val="19"/>
      <w:szCs w:val="19"/>
    </w:rPr>
  </w:style>
  <w:style w:type="character" w:customStyle="1" w:styleId="Heading7Char">
    <w:name w:val="Heading 7 Char"/>
    <w:link w:val="Heading7"/>
    <w:uiPriority w:val="99"/>
    <w:locked/>
    <w:rsid w:val="00561C14"/>
    <w:rPr>
      <w:rFonts w:ascii="Tahoma" w:eastAsia="MS Mincho" w:hAnsi="Tahoma" w:cs="Tahoma"/>
      <w:sz w:val="19"/>
      <w:szCs w:val="19"/>
    </w:rPr>
  </w:style>
  <w:style w:type="character" w:customStyle="1" w:styleId="Heading8Char">
    <w:name w:val="Heading 8 Char"/>
    <w:link w:val="Heading8"/>
    <w:uiPriority w:val="99"/>
    <w:locked/>
    <w:rsid w:val="00561C14"/>
    <w:rPr>
      <w:rFonts w:ascii="Tahoma" w:eastAsia="MS Mincho" w:hAnsi="Tahoma" w:cs="Tahoma"/>
      <w:sz w:val="19"/>
      <w:szCs w:val="19"/>
    </w:rPr>
  </w:style>
  <w:style w:type="character" w:customStyle="1" w:styleId="Heading9Char">
    <w:name w:val="Heading 9 Char"/>
    <w:link w:val="Heading9"/>
    <w:uiPriority w:val="99"/>
    <w:locked/>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uiPriority w:val="99"/>
    <w:rsid w:val="00561C14"/>
    <w:rPr>
      <w:rFonts w:cs="Times New Roman"/>
      <w:color w:val="0000FF"/>
      <w:u w:val="single"/>
    </w:rPr>
  </w:style>
  <w:style w:type="paragraph" w:customStyle="1" w:styleId="Body0Bold">
    <w:name w:val="Body 0 Bold"/>
    <w:next w:val="Normal"/>
    <w:uiPriority w:val="99"/>
    <w:rsid w:val="00561C14"/>
    <w:rPr>
      <w:rFonts w:ascii="Tahoma" w:eastAsia="MS Mincho" w:hAnsi="Tahoma" w:cs="Tahoma"/>
      <w:b/>
      <w:bCs/>
      <w:sz w:val="19"/>
      <w:szCs w:val="19"/>
      <w:lang w:val="de-DE" w:eastAsia="de-DE" w:bidi="ar-SA"/>
    </w:rPr>
  </w:style>
  <w:style w:type="paragraph" w:customStyle="1" w:styleId="Body0">
    <w:name w:val="Body 0"/>
    <w:next w:val="Normal"/>
    <w:uiPriority w:val="99"/>
    <w:rsid w:val="00561C14"/>
    <w:rPr>
      <w:rFonts w:ascii="Tahoma" w:eastAsia="MS Mincho" w:hAnsi="Tahoma" w:cs="Tahoma"/>
      <w:sz w:val="19"/>
      <w:szCs w:val="19"/>
      <w:lang w:val="de-DE" w:eastAsia="de-DE" w:bidi="ar-SA"/>
    </w:rPr>
  </w:style>
  <w:style w:type="character" w:customStyle="1" w:styleId="Bullet3Char1">
    <w:name w:val="Bullet 3 Char1"/>
    <w:link w:val="Bullet3"/>
    <w:uiPriority w:val="99"/>
    <w:locked/>
    <w:rsid w:val="00561C14"/>
    <w:rPr>
      <w:rFonts w:ascii="Tahoma" w:eastAsia="MS Mincho" w:hAnsi="Tahoma" w:cs="Tahoma"/>
      <w:sz w:val="19"/>
      <w:szCs w:val="19"/>
    </w:rPr>
  </w:style>
  <w:style w:type="character" w:styleId="CommentReference">
    <w:name w:val="annotation reference"/>
    <w:uiPriority w:val="99"/>
    <w:rsid w:val="00145590"/>
    <w:rPr>
      <w:rFonts w:cs="Times New Roman"/>
      <w:sz w:val="16"/>
      <w:szCs w:val="16"/>
    </w:rPr>
  </w:style>
  <w:style w:type="paragraph" w:styleId="CommentText">
    <w:name w:val="annotation text"/>
    <w:basedOn w:val="Normal"/>
    <w:link w:val="CommentTextChar"/>
    <w:uiPriority w:val="99"/>
    <w:rsid w:val="00145590"/>
    <w:rPr>
      <w:sz w:val="20"/>
      <w:szCs w:val="20"/>
    </w:rPr>
  </w:style>
  <w:style w:type="character" w:customStyle="1" w:styleId="CommentTextChar">
    <w:name w:val="Comment Text Char"/>
    <w:link w:val="CommentText"/>
    <w:uiPriority w:val="99"/>
    <w:locked/>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rsid w:val="00145590"/>
    <w:rPr>
      <w:b/>
      <w:bCs/>
    </w:rPr>
  </w:style>
  <w:style w:type="character" w:customStyle="1" w:styleId="CommentSubjectChar">
    <w:name w:val="Comment Subject Char"/>
    <w:link w:val="CommentSubject"/>
    <w:uiPriority w:val="99"/>
    <w:semiHidden/>
    <w:locked/>
    <w:rsid w:val="00145590"/>
    <w:rPr>
      <w:rFonts w:ascii="Tahoma" w:eastAsia="MS Mincho" w:hAnsi="Tahoma" w:cs="Tahoma"/>
      <w:b/>
      <w:bCs/>
      <w:sz w:val="20"/>
      <w:szCs w:val="20"/>
    </w:rPr>
  </w:style>
  <w:style w:type="paragraph" w:styleId="BalloonText">
    <w:name w:val="Balloon Text"/>
    <w:basedOn w:val="Normal"/>
    <w:link w:val="BalloonTextChar"/>
    <w:uiPriority w:val="99"/>
    <w:semiHidden/>
    <w:rsid w:val="00145590"/>
    <w:pPr>
      <w:spacing w:before="0" w:after="0"/>
    </w:pPr>
    <w:rPr>
      <w:sz w:val="16"/>
      <w:szCs w:val="16"/>
    </w:rPr>
  </w:style>
  <w:style w:type="character" w:customStyle="1" w:styleId="BalloonTextChar">
    <w:name w:val="Balloon Text Char"/>
    <w:link w:val="BalloonText"/>
    <w:uiPriority w:val="99"/>
    <w:semiHidden/>
    <w:locked/>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link w:val="PlainText"/>
    <w:uiPriority w:val="99"/>
    <w:locked/>
    <w:rsid w:val="00AD48A4"/>
    <w:rPr>
      <w:rFonts w:ascii="Calibri" w:eastAsia="MS Mincho" w:hAnsi="Calibri" w:cs="Times New Roman"/>
      <w:color w:val="1F497D"/>
    </w:rPr>
  </w:style>
  <w:style w:type="character" w:customStyle="1" w:styleId="Body2Char">
    <w:name w:val="Body 2 Char"/>
    <w:uiPriority w:val="99"/>
    <w:rsid w:val="00243B16"/>
    <w:rPr>
      <w:rFonts w:ascii="Tahoma" w:hAnsi="Tahoma" w:cs="Tahoma"/>
    </w:rPr>
  </w:style>
  <w:style w:type="paragraph" w:styleId="ListParagraph">
    <w:name w:val="List Paragraph"/>
    <w:basedOn w:val="Normal"/>
    <w:uiPriority w:val="99"/>
    <w:qFormat/>
    <w:rsid w:val="00E858A3"/>
    <w:pPr>
      <w:spacing w:before="0" w:after="0"/>
      <w:ind w:left="720"/>
    </w:pPr>
    <w:rPr>
      <w:rFonts w:ascii="Calibri" w:eastAsia="Calibr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uiPriority w:val="99"/>
    <w:semiHidden/>
    <w:rsid w:val="00BE2E12"/>
    <w:rPr>
      <w:rFonts w:cs="Times New Roman"/>
      <w:color w:val="800080"/>
      <w:u w:val="single"/>
    </w:rPr>
  </w:style>
  <w:style w:type="paragraph" w:styleId="Revision">
    <w:name w:val="Revision"/>
    <w:hidden/>
    <w:uiPriority w:val="99"/>
    <w:semiHidden/>
    <w:rsid w:val="0029683E"/>
    <w:rPr>
      <w:rFonts w:ascii="Tahoma" w:eastAsia="MS Mincho" w:hAnsi="Tahoma" w:cs="Tahoma"/>
      <w:sz w:val="19"/>
      <w:szCs w:val="19"/>
      <w:lang w:val="de-DE" w:eastAsia="de-DE" w:bidi="ar-SA"/>
    </w:rPr>
  </w:style>
  <w:style w:type="paragraph" w:styleId="Header">
    <w:name w:val="header"/>
    <w:basedOn w:val="Normal"/>
    <w:link w:val="HeaderChar"/>
    <w:uiPriority w:val="99"/>
    <w:rsid w:val="00BD38AF"/>
    <w:pPr>
      <w:tabs>
        <w:tab w:val="center" w:pos="4680"/>
        <w:tab w:val="right" w:pos="9360"/>
      </w:tabs>
      <w:spacing w:before="0" w:after="0"/>
    </w:pPr>
  </w:style>
  <w:style w:type="character" w:customStyle="1" w:styleId="HeaderChar">
    <w:name w:val="Header Char"/>
    <w:link w:val="Header"/>
    <w:uiPriority w:val="99"/>
    <w:locked/>
    <w:rsid w:val="00BD38AF"/>
    <w:rPr>
      <w:rFonts w:ascii="Tahoma" w:eastAsia="MS Mincho" w:hAnsi="Tahoma" w:cs="Tahoma"/>
      <w:sz w:val="19"/>
      <w:szCs w:val="19"/>
    </w:rPr>
  </w:style>
  <w:style w:type="paragraph" w:styleId="Footer">
    <w:name w:val="footer"/>
    <w:basedOn w:val="Normal"/>
    <w:link w:val="FooterChar"/>
    <w:uiPriority w:val="99"/>
    <w:rsid w:val="00BD38AF"/>
    <w:pPr>
      <w:tabs>
        <w:tab w:val="center" w:pos="4680"/>
        <w:tab w:val="right" w:pos="9360"/>
      </w:tabs>
      <w:spacing w:before="0" w:after="0"/>
    </w:pPr>
  </w:style>
  <w:style w:type="character" w:customStyle="1" w:styleId="FooterChar">
    <w:name w:val="Footer Char"/>
    <w:link w:val="Footer"/>
    <w:uiPriority w:val="99"/>
    <w:locked/>
    <w:rsid w:val="00BD38AF"/>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2985">
      <w:marLeft w:val="0"/>
      <w:marRight w:val="0"/>
      <w:marTop w:val="0"/>
      <w:marBottom w:val="0"/>
      <w:divBdr>
        <w:top w:val="none" w:sz="0" w:space="0" w:color="auto"/>
        <w:left w:val="none" w:sz="0" w:space="0" w:color="auto"/>
        <w:bottom w:val="none" w:sz="0" w:space="0" w:color="auto"/>
        <w:right w:val="none" w:sz="0" w:space="0" w:color="auto"/>
      </w:divBdr>
      <w:divsChild>
        <w:div w:id="203442997">
          <w:marLeft w:val="0"/>
          <w:marRight w:val="0"/>
          <w:marTop w:val="0"/>
          <w:marBottom w:val="0"/>
          <w:divBdr>
            <w:top w:val="none" w:sz="0" w:space="0" w:color="auto"/>
            <w:left w:val="none" w:sz="0" w:space="0" w:color="auto"/>
            <w:bottom w:val="none" w:sz="0" w:space="0" w:color="auto"/>
            <w:right w:val="none" w:sz="0" w:space="0" w:color="auto"/>
          </w:divBdr>
        </w:div>
      </w:divsChild>
    </w:div>
    <w:div w:id="203442986">
      <w:marLeft w:val="0"/>
      <w:marRight w:val="0"/>
      <w:marTop w:val="0"/>
      <w:marBottom w:val="0"/>
      <w:divBdr>
        <w:top w:val="none" w:sz="0" w:space="0" w:color="auto"/>
        <w:left w:val="none" w:sz="0" w:space="0" w:color="auto"/>
        <w:bottom w:val="none" w:sz="0" w:space="0" w:color="auto"/>
        <w:right w:val="none" w:sz="0" w:space="0" w:color="auto"/>
      </w:divBdr>
    </w:div>
    <w:div w:id="203442987">
      <w:marLeft w:val="0"/>
      <w:marRight w:val="0"/>
      <w:marTop w:val="0"/>
      <w:marBottom w:val="0"/>
      <w:divBdr>
        <w:top w:val="none" w:sz="0" w:space="0" w:color="auto"/>
        <w:left w:val="none" w:sz="0" w:space="0" w:color="auto"/>
        <w:bottom w:val="none" w:sz="0" w:space="0" w:color="auto"/>
        <w:right w:val="none" w:sz="0" w:space="0" w:color="auto"/>
      </w:divBdr>
    </w:div>
    <w:div w:id="203442988">
      <w:marLeft w:val="0"/>
      <w:marRight w:val="0"/>
      <w:marTop w:val="0"/>
      <w:marBottom w:val="0"/>
      <w:divBdr>
        <w:top w:val="none" w:sz="0" w:space="0" w:color="auto"/>
        <w:left w:val="none" w:sz="0" w:space="0" w:color="auto"/>
        <w:bottom w:val="none" w:sz="0" w:space="0" w:color="auto"/>
        <w:right w:val="none" w:sz="0" w:space="0" w:color="auto"/>
      </w:divBdr>
    </w:div>
    <w:div w:id="203442989">
      <w:marLeft w:val="0"/>
      <w:marRight w:val="0"/>
      <w:marTop w:val="0"/>
      <w:marBottom w:val="0"/>
      <w:divBdr>
        <w:top w:val="none" w:sz="0" w:space="0" w:color="auto"/>
        <w:left w:val="none" w:sz="0" w:space="0" w:color="auto"/>
        <w:bottom w:val="none" w:sz="0" w:space="0" w:color="auto"/>
        <w:right w:val="none" w:sz="0" w:space="0" w:color="auto"/>
      </w:divBdr>
    </w:div>
    <w:div w:id="203442990">
      <w:marLeft w:val="0"/>
      <w:marRight w:val="0"/>
      <w:marTop w:val="0"/>
      <w:marBottom w:val="0"/>
      <w:divBdr>
        <w:top w:val="none" w:sz="0" w:space="0" w:color="auto"/>
        <w:left w:val="none" w:sz="0" w:space="0" w:color="auto"/>
        <w:bottom w:val="none" w:sz="0" w:space="0" w:color="auto"/>
        <w:right w:val="none" w:sz="0" w:space="0" w:color="auto"/>
      </w:divBdr>
    </w:div>
    <w:div w:id="203442991">
      <w:marLeft w:val="0"/>
      <w:marRight w:val="0"/>
      <w:marTop w:val="0"/>
      <w:marBottom w:val="0"/>
      <w:divBdr>
        <w:top w:val="none" w:sz="0" w:space="0" w:color="auto"/>
        <w:left w:val="none" w:sz="0" w:space="0" w:color="auto"/>
        <w:bottom w:val="none" w:sz="0" w:space="0" w:color="auto"/>
        <w:right w:val="none" w:sz="0" w:space="0" w:color="auto"/>
      </w:divBdr>
    </w:div>
    <w:div w:id="203442992">
      <w:marLeft w:val="0"/>
      <w:marRight w:val="0"/>
      <w:marTop w:val="0"/>
      <w:marBottom w:val="0"/>
      <w:divBdr>
        <w:top w:val="none" w:sz="0" w:space="0" w:color="auto"/>
        <w:left w:val="none" w:sz="0" w:space="0" w:color="auto"/>
        <w:bottom w:val="none" w:sz="0" w:space="0" w:color="auto"/>
        <w:right w:val="none" w:sz="0" w:space="0" w:color="auto"/>
      </w:divBdr>
    </w:div>
    <w:div w:id="203442993">
      <w:marLeft w:val="0"/>
      <w:marRight w:val="0"/>
      <w:marTop w:val="0"/>
      <w:marBottom w:val="0"/>
      <w:divBdr>
        <w:top w:val="none" w:sz="0" w:space="0" w:color="auto"/>
        <w:left w:val="none" w:sz="0" w:space="0" w:color="auto"/>
        <w:bottom w:val="none" w:sz="0" w:space="0" w:color="auto"/>
        <w:right w:val="none" w:sz="0" w:space="0" w:color="auto"/>
      </w:divBdr>
    </w:div>
    <w:div w:id="203442994">
      <w:marLeft w:val="0"/>
      <w:marRight w:val="0"/>
      <w:marTop w:val="0"/>
      <w:marBottom w:val="0"/>
      <w:divBdr>
        <w:top w:val="none" w:sz="0" w:space="0" w:color="auto"/>
        <w:left w:val="none" w:sz="0" w:space="0" w:color="auto"/>
        <w:bottom w:val="none" w:sz="0" w:space="0" w:color="auto"/>
        <w:right w:val="none" w:sz="0" w:space="0" w:color="auto"/>
      </w:divBdr>
    </w:div>
    <w:div w:id="203442995">
      <w:marLeft w:val="0"/>
      <w:marRight w:val="0"/>
      <w:marTop w:val="0"/>
      <w:marBottom w:val="0"/>
      <w:divBdr>
        <w:top w:val="none" w:sz="0" w:space="0" w:color="auto"/>
        <w:left w:val="none" w:sz="0" w:space="0" w:color="auto"/>
        <w:bottom w:val="none" w:sz="0" w:space="0" w:color="auto"/>
        <w:right w:val="none" w:sz="0" w:space="0" w:color="auto"/>
      </w:divBdr>
    </w:div>
    <w:div w:id="203442996">
      <w:marLeft w:val="0"/>
      <w:marRight w:val="0"/>
      <w:marTop w:val="0"/>
      <w:marBottom w:val="0"/>
      <w:divBdr>
        <w:top w:val="none" w:sz="0" w:space="0" w:color="auto"/>
        <w:left w:val="none" w:sz="0" w:space="0" w:color="auto"/>
        <w:bottom w:val="none" w:sz="0" w:space="0" w:color="auto"/>
        <w:right w:val="none" w:sz="0" w:space="0" w:color="auto"/>
      </w:divBdr>
    </w:div>
    <w:div w:id="203442998">
      <w:marLeft w:val="0"/>
      <w:marRight w:val="0"/>
      <w:marTop w:val="0"/>
      <w:marBottom w:val="0"/>
      <w:divBdr>
        <w:top w:val="none" w:sz="0" w:space="0" w:color="auto"/>
        <w:left w:val="none" w:sz="0" w:space="0" w:color="auto"/>
        <w:bottom w:val="none" w:sz="0" w:space="0" w:color="auto"/>
        <w:right w:val="none" w:sz="0" w:space="0" w:color="auto"/>
      </w:divBdr>
    </w:div>
    <w:div w:id="203442999">
      <w:marLeft w:val="0"/>
      <w:marRight w:val="0"/>
      <w:marTop w:val="0"/>
      <w:marBottom w:val="0"/>
      <w:divBdr>
        <w:top w:val="none" w:sz="0" w:space="0" w:color="auto"/>
        <w:left w:val="none" w:sz="0" w:space="0" w:color="auto"/>
        <w:bottom w:val="none" w:sz="0" w:space="0" w:color="auto"/>
        <w:right w:val="none" w:sz="0" w:space="0" w:color="auto"/>
      </w:divBdr>
    </w:div>
    <w:div w:id="203443000">
      <w:marLeft w:val="0"/>
      <w:marRight w:val="0"/>
      <w:marTop w:val="0"/>
      <w:marBottom w:val="0"/>
      <w:divBdr>
        <w:top w:val="none" w:sz="0" w:space="0" w:color="auto"/>
        <w:left w:val="none" w:sz="0" w:space="0" w:color="auto"/>
        <w:bottom w:val="none" w:sz="0" w:space="0" w:color="auto"/>
        <w:right w:val="none" w:sz="0" w:space="0" w:color="auto"/>
      </w:divBdr>
    </w:div>
    <w:div w:id="203443001">
      <w:marLeft w:val="0"/>
      <w:marRight w:val="0"/>
      <w:marTop w:val="0"/>
      <w:marBottom w:val="0"/>
      <w:divBdr>
        <w:top w:val="none" w:sz="0" w:space="0" w:color="auto"/>
        <w:left w:val="none" w:sz="0" w:space="0" w:color="auto"/>
        <w:bottom w:val="none" w:sz="0" w:space="0" w:color="auto"/>
        <w:right w:val="none" w:sz="0" w:space="0" w:color="auto"/>
      </w:divBdr>
    </w:div>
    <w:div w:id="203443002">
      <w:marLeft w:val="0"/>
      <w:marRight w:val="0"/>
      <w:marTop w:val="0"/>
      <w:marBottom w:val="0"/>
      <w:divBdr>
        <w:top w:val="none" w:sz="0" w:space="0" w:color="auto"/>
        <w:left w:val="none" w:sz="0" w:space="0" w:color="auto"/>
        <w:bottom w:val="none" w:sz="0" w:space="0" w:color="auto"/>
        <w:right w:val="none" w:sz="0" w:space="0" w:color="auto"/>
      </w:divBdr>
    </w:div>
    <w:div w:id="20344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rdpartysour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2017-03-10T17:40:00Z</dcterms:created>
  <dcterms:modified xsi:type="dcterms:W3CDTF">2017-03-10T17:40:00Z</dcterms:modified>
</cp:coreProperties>
</file>