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B0B76" w14:textId="31CF1645" w:rsidR="002342D6" w:rsidRPr="00106D90" w:rsidRDefault="00561C14" w:rsidP="002342D6">
      <w:pPr>
        <w:pStyle w:val="HeadingEULA"/>
        <w:spacing w:before="0" w:after="160"/>
        <w:ind w:left="0"/>
      </w:pPr>
      <w:r w:rsidRPr="00106D90">
        <w:t>POSTANOWIENIA LICENCYJNE DOTYCZĄCE OPROGRAMOWANIA MICROSOFT W WERSJI WSTĘPNEJ</w:t>
      </w:r>
    </w:p>
    <w:p w14:paraId="320D2EE7" w14:textId="009CB226" w:rsidR="00073C7B" w:rsidRPr="00106D90" w:rsidRDefault="00561C14" w:rsidP="002342D6">
      <w:pPr>
        <w:pStyle w:val="HeadingEULA"/>
        <w:spacing w:before="0" w:after="160"/>
        <w:ind w:left="0"/>
      </w:pPr>
      <w:r w:rsidRPr="00106D90">
        <w:t>WERSJA WSTĘPNA OPROGRAMOWANIA RODZINY PRODUKTÓW MICROSOFT VISUAL STUDIO 2017</w:t>
      </w:r>
    </w:p>
    <w:p w14:paraId="3ECD3434" w14:textId="275EF870" w:rsidR="00561C14" w:rsidRPr="00056CC6" w:rsidRDefault="00561C14" w:rsidP="002342D6">
      <w:pPr>
        <w:pStyle w:val="Preamble"/>
        <w:spacing w:before="0" w:after="160"/>
        <w:ind w:left="0"/>
        <w:rPr>
          <w:b w:val="0"/>
          <w:spacing w:val="-2"/>
        </w:rPr>
      </w:pPr>
      <w:r w:rsidRPr="00056CC6">
        <w:rPr>
          <w:b w:val="0"/>
          <w:spacing w:val="-2"/>
        </w:rPr>
        <w:t>Niniejsze postanowienia licencyjne stanowią umowę między Licencjobiorcą a Microsoft Corporation (albo, w zależności od miejsca zamieszkania Licencjobiorcy, jednym z podmiotów stowarzyszonych Microsoft Corporation). Postanowienia te dotyczą określonego powyżej oprogramowania w wersji wstępnej. Niniejsze postanowienia mają również zastosowanie do wszelkich usług i aktualizacji Microsoft dla niniejszego oprogramowania, z wyjątkiem tych, którym towarzyszą odrębne postanowienia.</w:t>
      </w:r>
    </w:p>
    <w:p w14:paraId="61587206" w14:textId="77777777" w:rsidR="00561C14" w:rsidRPr="00090109" w:rsidRDefault="008640F1" w:rsidP="002342D6">
      <w:pPr>
        <w:pStyle w:val="PreambleBorderAbove"/>
        <w:spacing w:before="0" w:after="160"/>
        <w:ind w:left="0"/>
      </w:pPr>
      <w:r w:rsidRPr="00090109">
        <w:t>JEŚLI LICENCJOBIORCA PRZESTRZEGA NINIEJSZYCH POSTANOWIEŃ LICENCYJNYCH, UZYSKUJE OPISANE PONIŻEJ PRAWA.</w:t>
      </w:r>
    </w:p>
    <w:p w14:paraId="191B46CB" w14:textId="5DA78BEB" w:rsidR="00561C14" w:rsidRPr="00090109" w:rsidRDefault="00561C14" w:rsidP="00BA3358">
      <w:pPr>
        <w:pStyle w:val="Heading1"/>
        <w:tabs>
          <w:tab w:val="clear" w:pos="450"/>
          <w:tab w:val="num" w:pos="360"/>
        </w:tabs>
        <w:spacing w:before="0" w:after="160"/>
        <w:ind w:left="360" w:hanging="360"/>
      </w:pPr>
      <w:r w:rsidRPr="00090109">
        <w:t>PRAWA DO INSTALACJI I UŻYWANIA</w:t>
      </w:r>
      <w:r w:rsidR="00BA3358">
        <w:t>.</w:t>
      </w:r>
    </w:p>
    <w:p w14:paraId="4677A1D4" w14:textId="3657C467" w:rsidR="00561C14" w:rsidRPr="00090109" w:rsidRDefault="00561C14" w:rsidP="004446EF">
      <w:pPr>
        <w:pStyle w:val="CommentText"/>
        <w:numPr>
          <w:ilvl w:val="0"/>
          <w:numId w:val="38"/>
        </w:numPr>
        <w:rPr>
          <w:sz w:val="19"/>
          <w:szCs w:val="19"/>
        </w:rPr>
      </w:pPr>
      <w:r w:rsidRPr="00090109">
        <w:rPr>
          <w:sz w:val="19"/>
          <w:szCs w:val="19"/>
        </w:rPr>
        <w:t>Licencjobiorca może dokonać instalacji i korzystać z dowolnej liczby kopii oprogramowania na posiadanych przez niego urządzeniach wyłącznie na potrzeby oceny tego oprogramowania. Jeśli Licencjobiorca używa oprogramowania na platformie Microsoft Azure, zastosowanie mogą mieć inne opłaty i warunki.</w:t>
      </w:r>
    </w:p>
    <w:p w14:paraId="768811D0" w14:textId="77777777" w:rsidR="00145590" w:rsidRPr="00090109" w:rsidRDefault="00145590" w:rsidP="002342D6">
      <w:pPr>
        <w:pStyle w:val="Bullet3"/>
        <w:tabs>
          <w:tab w:val="clear" w:pos="1080"/>
          <w:tab w:val="num" w:pos="720"/>
        </w:tabs>
        <w:spacing w:before="0" w:after="160"/>
        <w:ind w:left="720" w:hanging="360"/>
        <w:rPr>
          <w:rFonts w:eastAsia="SimSun"/>
        </w:rPr>
      </w:pPr>
      <w:r w:rsidRPr="00090109">
        <w:t>Licencjobiorca nie może rozpowszechniać żadnej aplikacji opracowanej przy użyciu oprogramowania. Może jednak wdrażać takie aplikacje wewnętrznie wyłącznie w celu dokonania ewaluacji technologii wdrażania w oprogramowaniu</w:t>
      </w:r>
      <w:r w:rsidRPr="00090109">
        <w:rPr>
          <w:rFonts w:eastAsia="SimSun"/>
        </w:rPr>
        <w:t>.</w:t>
      </w:r>
    </w:p>
    <w:p w14:paraId="5D20438F" w14:textId="77777777" w:rsidR="00C41708" w:rsidRPr="00090109" w:rsidRDefault="00C41708" w:rsidP="002342D6">
      <w:pPr>
        <w:pStyle w:val="Bullet3"/>
        <w:tabs>
          <w:tab w:val="clear" w:pos="1080"/>
          <w:tab w:val="num" w:pos="720"/>
        </w:tabs>
        <w:spacing w:before="0" w:after="160"/>
        <w:ind w:left="720" w:hanging="360"/>
        <w:rPr>
          <w:rFonts w:eastAsia="SimSun"/>
        </w:rPr>
      </w:pPr>
      <w:r w:rsidRPr="00090109">
        <w:t>Licencjobiorca nie może testować oprogramowania w rzeczywistym środowisku operacyjnym, o ile Microsoft nie zezwoli na to w odrębnej umowie.</w:t>
      </w:r>
    </w:p>
    <w:p w14:paraId="39CCAD7A" w14:textId="75DFA36B" w:rsidR="0089566E" w:rsidRPr="00090109" w:rsidRDefault="008640F1" w:rsidP="002342D6">
      <w:pPr>
        <w:pStyle w:val="Heading1"/>
        <w:tabs>
          <w:tab w:val="clear" w:pos="450"/>
          <w:tab w:val="num" w:pos="360"/>
        </w:tabs>
        <w:spacing w:before="0" w:after="160"/>
        <w:ind w:left="360" w:hanging="360"/>
        <w:rPr>
          <w:rFonts w:eastAsia="SimSun"/>
        </w:rPr>
      </w:pPr>
      <w:r w:rsidRPr="00090109">
        <w:t>POSTANOWIENIA DOTYCZĄCE POSZCZEGÓLNYCH SKŁADNIKÓW.</w:t>
      </w:r>
    </w:p>
    <w:p w14:paraId="7C27E3B4" w14:textId="0E8FD1A9" w:rsidR="007B3889" w:rsidRPr="00090109" w:rsidRDefault="007B3889" w:rsidP="005549F4">
      <w:pPr>
        <w:pStyle w:val="ListParagraph"/>
        <w:numPr>
          <w:ilvl w:val="0"/>
          <w:numId w:val="12"/>
        </w:numPr>
        <w:spacing w:after="160"/>
        <w:ind w:left="720"/>
        <w:rPr>
          <w:rFonts w:ascii="Tahoma" w:hAnsi="Tahoma" w:cs="Tahoma"/>
          <w:bCs/>
          <w:sz w:val="19"/>
          <w:szCs w:val="19"/>
        </w:rPr>
      </w:pPr>
      <w:r w:rsidRPr="00090109">
        <w:rPr>
          <w:rFonts w:ascii="Tahoma" w:hAnsi="Tahoma" w:cs="Tahoma"/>
          <w:b/>
          <w:sz w:val="19"/>
          <w:szCs w:val="19"/>
        </w:rPr>
        <w:t>Rozdzielanie składników; Obciążenia.</w:t>
      </w:r>
      <w:r w:rsidRPr="00090109">
        <w:rPr>
          <w:rFonts w:ascii="Tahoma" w:hAnsi="Tahoma" w:cs="Tahoma"/>
          <w:sz w:val="19"/>
          <w:szCs w:val="19"/>
        </w:rPr>
        <w:t xml:space="preserve"> O ile postanowienia niniejszej umowy nie stanowią inaczej, (i) składniki oprogramowania są licencjonowane jako całość i (ii) Licencjobiorca nie można ich rozdzielać ani instalować na różnych urządzeniach. Niniejsza umowa ma zastosowanie do używania przez Licencjobiorcę Obciążeń udostępnionych mu w ramach oprogramowania, z wyjątkiem zakresu, w</w:t>
      </w:r>
      <w:r w:rsidR="005549F4">
        <w:rPr>
          <w:rFonts w:ascii="Tahoma" w:hAnsi="Tahoma" w:cs="Tahoma"/>
          <w:sz w:val="19"/>
          <w:szCs w:val="19"/>
        </w:rPr>
        <w:t> </w:t>
      </w:r>
      <w:r w:rsidRPr="00090109">
        <w:rPr>
          <w:rFonts w:ascii="Tahoma" w:hAnsi="Tahoma" w:cs="Tahoma"/>
          <w:sz w:val="19"/>
          <w:szCs w:val="19"/>
        </w:rPr>
        <w:t>jakim Obciążenie lub składnik Obciążenia jest udostępniany na mocy innych postanowień.</w:t>
      </w:r>
    </w:p>
    <w:p w14:paraId="4C406145" w14:textId="7C5AFAC2" w:rsidR="00894F25" w:rsidRPr="00090109" w:rsidRDefault="00894F25" w:rsidP="00764E1A">
      <w:pPr>
        <w:pStyle w:val="ListParagraph"/>
        <w:numPr>
          <w:ilvl w:val="0"/>
          <w:numId w:val="12"/>
        </w:numPr>
        <w:spacing w:after="160"/>
        <w:ind w:left="720"/>
        <w:rPr>
          <w:rFonts w:ascii="Tahoma" w:hAnsi="Tahoma" w:cs="Tahoma"/>
          <w:sz w:val="19"/>
          <w:szCs w:val="19"/>
        </w:rPr>
      </w:pPr>
      <w:r w:rsidRPr="00090109">
        <w:rPr>
          <w:rFonts w:ascii="Tahoma" w:hAnsi="Tahoma" w:cs="Tahoma"/>
          <w:b/>
          <w:sz w:val="19"/>
          <w:szCs w:val="19"/>
        </w:rPr>
        <w:t>Narzędzia.</w:t>
      </w:r>
      <w:r w:rsidRPr="00090109">
        <w:rPr>
          <w:rFonts w:ascii="Tahoma" w:hAnsi="Tahoma" w:cs="Tahoma"/>
          <w:sz w:val="19"/>
          <w:szCs w:val="19"/>
        </w:rPr>
        <w:t xml:space="preserve"> Oprogramowanie zawiera składniki wymienione na liście Narzędzi dostępnej pod adresem </w:t>
      </w:r>
      <w:hyperlink r:id="rId7" w:history="1">
        <w:r w:rsidRPr="00090109">
          <w:rPr>
            <w:rStyle w:val="Hyperlink"/>
            <w:rFonts w:ascii="Tahoma" w:hAnsi="Tahoma" w:cs="Tahoma"/>
            <w:sz w:val="19"/>
            <w:szCs w:val="19"/>
          </w:rPr>
          <w:t>https://go.microsoft.com/fwlink/?linkid=823097</w:t>
        </w:r>
      </w:hyperlink>
      <w:r w:rsidRPr="002214F9">
        <w:rPr>
          <w:rFonts w:ascii="Tahoma" w:hAnsi="Tahoma" w:cs="Tahoma"/>
          <w:sz w:val="19"/>
          <w:szCs w:val="19"/>
        </w:rPr>
        <w:t xml:space="preserve">. Licencjobiorca </w:t>
      </w:r>
      <w:r w:rsidRPr="00090109">
        <w:rPr>
          <w:rFonts w:ascii="Tahoma" w:hAnsi="Tahoma" w:cs="Tahoma"/>
          <w:sz w:val="19"/>
          <w:szCs w:val="19"/>
        </w:rPr>
        <w:t>może kopiować i instalować te składniki, o ile stanowią one część oprogramowania, na własnych urządzeniach w celu debugowania i</w:t>
      </w:r>
      <w:r w:rsidR="00764E1A">
        <w:rPr>
          <w:rFonts w:ascii="Tahoma" w:hAnsi="Tahoma" w:cs="Tahoma"/>
          <w:sz w:val="19"/>
          <w:szCs w:val="19"/>
        </w:rPr>
        <w:t> </w:t>
      </w:r>
      <w:r w:rsidRPr="00090109">
        <w:rPr>
          <w:rFonts w:ascii="Tahoma" w:hAnsi="Tahoma" w:cs="Tahoma"/>
          <w:sz w:val="19"/>
          <w:szCs w:val="19"/>
        </w:rPr>
        <w:t>wewnętrznego wdrażania aplikacji, które Licencjobiorca opracowuje przy użyciu oprogramowania. Należy pamiętać, że Narzędzia są przeznaczone do tymczasowego użycia i Microsoft może nie być w</w:t>
      </w:r>
      <w:r w:rsidR="00764E1A">
        <w:rPr>
          <w:rFonts w:ascii="Tahoma" w:hAnsi="Tahoma" w:cs="Tahoma"/>
          <w:sz w:val="19"/>
          <w:szCs w:val="19"/>
        </w:rPr>
        <w:t> </w:t>
      </w:r>
      <w:r w:rsidRPr="00090109">
        <w:rPr>
          <w:rFonts w:ascii="Tahoma" w:hAnsi="Tahoma" w:cs="Tahoma"/>
          <w:sz w:val="19"/>
          <w:szCs w:val="19"/>
        </w:rPr>
        <w:t>stanie dokonać naprawy lub aktualizacji danego Narzędzia oddzielnie od reszty oprogramowania. Ponadto niektóre Narzędzia z definicji mogą umożliwiać osobom trzecim dostęp do urządzeń, na których zostały zainstalowane. Po zakończeniu operacji debugowania lub wewnętrznego wdrażania aplikacji Licencjobiorca powinien zatem usunąć wszystkie zainstalowane Narzędzia. Microsoft nie ponosi odpowiedzialności za używanie lub uzyskiwanie przez osoby trzecie dostępu do Narzędzi zainstalowanych przez Licencjobiorcę na dowolnym urządzeniu.</w:t>
      </w:r>
    </w:p>
    <w:p w14:paraId="5CE06463" w14:textId="49677251" w:rsidR="00894F25" w:rsidRPr="00090109" w:rsidRDefault="00894F25" w:rsidP="002342D6">
      <w:pPr>
        <w:pStyle w:val="ListParagraph"/>
        <w:numPr>
          <w:ilvl w:val="0"/>
          <w:numId w:val="12"/>
        </w:numPr>
        <w:spacing w:after="160"/>
        <w:ind w:left="720"/>
        <w:rPr>
          <w:rFonts w:ascii="Tahoma" w:hAnsi="Tahoma" w:cs="Tahoma"/>
          <w:sz w:val="19"/>
          <w:szCs w:val="19"/>
        </w:rPr>
      </w:pPr>
      <w:r w:rsidRPr="00090109">
        <w:rPr>
          <w:rFonts w:ascii="Tahoma" w:hAnsi="Tahoma" w:cs="Tahoma"/>
          <w:b/>
          <w:sz w:val="19"/>
          <w:szCs w:val="19"/>
        </w:rPr>
        <w:t>Serwer kompilacji.</w:t>
      </w:r>
      <w:r w:rsidRPr="00090109">
        <w:rPr>
          <w:rFonts w:ascii="Tahoma" w:hAnsi="Tahoma" w:cs="Tahoma"/>
          <w:sz w:val="19"/>
          <w:szCs w:val="19"/>
        </w:rPr>
        <w:t xml:space="preserve"> Oprogramowanie zawiera pliki wymienione na liście serwerów kompilacji dostępnej pod adresem </w:t>
      </w:r>
      <w:hyperlink r:id="rId8" w:history="1">
        <w:r w:rsidRPr="00090109">
          <w:rPr>
            <w:rStyle w:val="Hyperlink"/>
            <w:rFonts w:ascii="Tahoma" w:hAnsi="Tahoma" w:cs="Tahoma"/>
            <w:sz w:val="19"/>
            <w:szCs w:val="19"/>
          </w:rPr>
          <w:t>https://go.microsoft.com/fwlink/?linkid=823097</w:t>
        </w:r>
      </w:hyperlink>
      <w:r w:rsidRPr="00090109">
        <w:rPr>
          <w:rFonts w:ascii="Tahoma" w:hAnsi="Tahoma" w:cs="Tahoma"/>
          <w:sz w:val="19"/>
          <w:szCs w:val="19"/>
        </w:rPr>
        <w:t xml:space="preserve">. Licencjobiorca może kopiować i instalować te pliki, o ile są dołączone do oprogramowania, na urządzeniach z daną kompilacją. Licencjobiorca i inni użytkownicy w jego organizacji mogą używać tych plików na swoich urządzeniach z uruchomioną kompilacją wyłącznie w celach kompilowania, tworzenia i weryfikowania swoich aplikacji oraz testowania jakości i wydajności w ramach procesu kompilacji. </w:t>
      </w:r>
    </w:p>
    <w:p w14:paraId="21576E0C" w14:textId="38018E8A" w:rsidR="007B3889" w:rsidRPr="00090109" w:rsidRDefault="007B3889" w:rsidP="001A16BC">
      <w:pPr>
        <w:pStyle w:val="ListParagraph"/>
        <w:pageBreakBefore/>
        <w:numPr>
          <w:ilvl w:val="0"/>
          <w:numId w:val="12"/>
        </w:numPr>
        <w:spacing w:after="160"/>
        <w:ind w:left="720"/>
        <w:rPr>
          <w:rFonts w:ascii="Tahoma" w:hAnsi="Tahoma" w:cs="Tahoma"/>
          <w:bCs/>
          <w:sz w:val="19"/>
          <w:szCs w:val="19"/>
        </w:rPr>
      </w:pPr>
      <w:r w:rsidRPr="00090109">
        <w:rPr>
          <w:rFonts w:ascii="Tahoma" w:hAnsi="Tahoma" w:cs="Tahoma"/>
          <w:b/>
          <w:sz w:val="19"/>
          <w:szCs w:val="19"/>
        </w:rPr>
        <w:lastRenderedPageBreak/>
        <w:t>Czcionki.</w:t>
      </w:r>
      <w:r w:rsidRPr="00090109">
        <w:rPr>
          <w:rFonts w:ascii="Tahoma" w:hAnsi="Tahoma" w:cs="Tahoma"/>
          <w:sz w:val="19"/>
          <w:szCs w:val="19"/>
        </w:rPr>
        <w:t xml:space="preserve"> Po uruchomieniu oprogramowania Licencjobiorca może korzystać z jego czcionek do wyświetlania i drukowania zawartości. Licencjobiorca może jedynie: (i) osadzać czcionki w zawartości, biorąc pod uwagę ograniczenia dotyczące ich osadzania; oraz (ii) tymczasowo pobierać je na drukarkę lub inne urządzenie wyjściowe, aby drukować zawartość.</w:t>
      </w:r>
    </w:p>
    <w:p w14:paraId="32258D5D" w14:textId="6929BD57" w:rsidR="00F77B4C" w:rsidRPr="00090109" w:rsidRDefault="00667F7B" w:rsidP="002342D6">
      <w:pPr>
        <w:pStyle w:val="ListParagraph"/>
        <w:numPr>
          <w:ilvl w:val="0"/>
          <w:numId w:val="12"/>
        </w:numPr>
        <w:spacing w:after="160"/>
        <w:ind w:left="720"/>
        <w:rPr>
          <w:rFonts w:ascii="Tahoma" w:hAnsi="Tahoma" w:cs="Tahoma"/>
          <w:b/>
          <w:sz w:val="19"/>
          <w:szCs w:val="19"/>
        </w:rPr>
      </w:pPr>
      <w:r w:rsidRPr="00090109">
        <w:rPr>
          <w:rFonts w:ascii="Tahoma" w:hAnsi="Tahoma" w:cs="Tahoma"/>
          <w:b/>
          <w:sz w:val="19"/>
          <w:szCs w:val="19"/>
        </w:rPr>
        <w:t>Licencje na inne składniki.</w:t>
      </w:r>
    </w:p>
    <w:p w14:paraId="65ACFBCE" w14:textId="4BF40388" w:rsidR="0089566E" w:rsidRPr="00090109" w:rsidRDefault="0089566E" w:rsidP="00EA2F6C">
      <w:pPr>
        <w:pStyle w:val="Bullet3"/>
        <w:numPr>
          <w:ilvl w:val="0"/>
          <w:numId w:val="33"/>
        </w:numPr>
        <w:spacing w:before="0" w:after="160"/>
        <w:ind w:left="1080"/>
      </w:pPr>
      <w:r w:rsidRPr="00090109">
        <w:rPr>
          <w:b/>
        </w:rPr>
        <w:t xml:space="preserve">Platformy Microsoft. </w:t>
      </w:r>
      <w:r w:rsidRPr="00090109">
        <w:t>Oprogramowanie może zawierać składniki pochodzące z następujących produktów: Microsoft Windows, Microsoft Windows Server, Microsoft SQL Server, Microsoft Exchange, Microsoft Office i Microsoft SharePoint. Takie składniki podlegają odrębnym umowom i</w:t>
      </w:r>
      <w:r w:rsidR="00EA2F6C">
        <w:t> </w:t>
      </w:r>
      <w:r w:rsidRPr="00090109">
        <w:t xml:space="preserve">stosownym zasadom udzielania wsparcia w zakresie produktów, zgodnie z opisem w folderze „Licencje” Microsoft dołączonym do oprogramowania, z zastrzeżeniem, że jeśli postanowienia licencyjne dotyczące tych składników umieszczono także w katalogu instalacyjnym, to takie postanowienia mają wówczas charakter nadrzędny. </w:t>
      </w:r>
    </w:p>
    <w:p w14:paraId="6AB693C0" w14:textId="637165B6" w:rsidR="000632D9" w:rsidRPr="00090109" w:rsidRDefault="00667F7B" w:rsidP="00FB78B3">
      <w:pPr>
        <w:pStyle w:val="ListParagraph"/>
        <w:numPr>
          <w:ilvl w:val="0"/>
          <w:numId w:val="33"/>
        </w:numPr>
        <w:spacing w:after="160"/>
        <w:ind w:left="1080"/>
        <w:rPr>
          <w:rFonts w:ascii="Tahoma" w:hAnsi="Tahoma" w:cs="Tahoma"/>
          <w:color w:val="000000"/>
          <w:sz w:val="19"/>
          <w:szCs w:val="19"/>
        </w:rPr>
      </w:pPr>
      <w:r w:rsidRPr="00090109">
        <w:rPr>
          <w:rFonts w:ascii="Tahoma" w:hAnsi="Tahoma" w:cs="Tahoma"/>
          <w:b/>
          <w:sz w:val="19"/>
          <w:szCs w:val="19"/>
        </w:rPr>
        <w:t xml:space="preserve">Zasoby deweloperskie. </w:t>
      </w:r>
      <w:r w:rsidRPr="00090109">
        <w:rPr>
          <w:rFonts w:ascii="Tahoma" w:hAnsi="Tahoma" w:cs="Tahoma"/>
          <w:sz w:val="19"/>
          <w:szCs w:val="19"/>
        </w:rPr>
        <w:t>Oprogramowanie obejmuje kompilatory, języki, środowiska uruchomieniowe, środowiska i inne zasoby. Te składniki podlegają odrębnym umowom i</w:t>
      </w:r>
      <w:r w:rsidR="00CF56F2">
        <w:rPr>
          <w:rFonts w:ascii="Tahoma" w:hAnsi="Tahoma" w:cs="Tahoma"/>
          <w:sz w:val="19"/>
          <w:szCs w:val="19"/>
        </w:rPr>
        <w:t> </w:t>
      </w:r>
      <w:r w:rsidRPr="00090109">
        <w:rPr>
          <w:rFonts w:ascii="Tahoma" w:hAnsi="Tahoma" w:cs="Tahoma"/>
          <w:sz w:val="19"/>
          <w:szCs w:val="19"/>
        </w:rPr>
        <w:t>odnośnym zasadom udzielania wsparcia w zakresie produktów. Lista takich składników znajduje</w:t>
      </w:r>
      <w:r w:rsidR="00FB78B3">
        <w:rPr>
          <w:rFonts w:ascii="Tahoma" w:hAnsi="Tahoma" w:cs="Tahoma"/>
          <w:sz w:val="19"/>
          <w:szCs w:val="19"/>
        </w:rPr>
        <w:t> </w:t>
      </w:r>
      <w:r w:rsidRPr="00090109">
        <w:rPr>
          <w:rFonts w:ascii="Tahoma" w:hAnsi="Tahoma" w:cs="Tahoma"/>
          <w:sz w:val="19"/>
          <w:szCs w:val="19"/>
        </w:rPr>
        <w:t xml:space="preserve">się pod adresem </w:t>
      </w:r>
      <w:hyperlink r:id="rId9" w:history="1">
        <w:r w:rsidRPr="00090109">
          <w:rPr>
            <w:rStyle w:val="Hyperlink"/>
            <w:rFonts w:ascii="Tahoma" w:hAnsi="Tahoma" w:cs="Tahoma"/>
            <w:sz w:val="19"/>
            <w:szCs w:val="19"/>
          </w:rPr>
          <w:t>https://support.microsoft.com</w:t>
        </w:r>
      </w:hyperlink>
      <w:r w:rsidRPr="00090109">
        <w:rPr>
          <w:rFonts w:ascii="Tahoma" w:hAnsi="Tahoma" w:cs="Tahoma"/>
          <w:sz w:val="19"/>
          <w:szCs w:val="19"/>
        </w:rPr>
        <w:t>.</w:t>
      </w:r>
    </w:p>
    <w:p w14:paraId="42BC73A8" w14:textId="6004E9A7" w:rsidR="00894F25" w:rsidRPr="00090109" w:rsidRDefault="00A26A74" w:rsidP="002342D6">
      <w:pPr>
        <w:pStyle w:val="ListParagraph"/>
        <w:numPr>
          <w:ilvl w:val="0"/>
          <w:numId w:val="33"/>
        </w:numPr>
        <w:spacing w:after="160"/>
        <w:ind w:left="1080"/>
        <w:rPr>
          <w:rFonts w:ascii="Tahoma" w:hAnsi="Tahoma" w:cs="Tahoma"/>
          <w:color w:val="000000"/>
          <w:sz w:val="19"/>
          <w:szCs w:val="19"/>
        </w:rPr>
      </w:pPr>
      <w:r w:rsidRPr="00090109">
        <w:rPr>
          <w:rFonts w:ascii="Tahoma" w:hAnsi="Tahoma" w:cs="Tahoma"/>
          <w:b/>
          <w:bCs/>
          <w:sz w:val="19"/>
          <w:szCs w:val="19"/>
        </w:rPr>
        <w:t xml:space="preserve">Składniki pochodzące od osób trzecich. </w:t>
      </w:r>
      <w:r w:rsidRPr="00090109">
        <w:rPr>
          <w:rFonts w:ascii="Tahoma" w:hAnsi="Tahoma" w:cs="Tahoma"/>
          <w:sz w:val="19"/>
          <w:szCs w:val="19"/>
        </w:rPr>
        <w:t>Oprogramowanie może zawierać składniki pochodzące od osób trzecich, objęte odrębnymi informacjami prawnymi lub podlegające innym umowom, zgodnie z ewentualnym opisem w plikach ThirdPartyNotices dołączonych do oprogramowania. Nawet jeśli takie składniki podlegają innym umowom, zastosowanie mają odpowiednie klauzule dotyczące odrzucenia odpowiedzialności i ograniczenia odpowiedzialności odszkodowawczej.</w:t>
      </w:r>
    </w:p>
    <w:p w14:paraId="38DB1AA5" w14:textId="3107B87F" w:rsidR="002B3B99" w:rsidRPr="00090109" w:rsidRDefault="000475AB" w:rsidP="002342D6">
      <w:pPr>
        <w:pStyle w:val="ListParagraph"/>
        <w:spacing w:after="160"/>
        <w:ind w:left="1080"/>
        <w:rPr>
          <w:rFonts w:ascii="Tahoma" w:hAnsi="Tahoma" w:cs="Tahoma"/>
          <w:sz w:val="19"/>
          <w:szCs w:val="19"/>
        </w:rPr>
      </w:pPr>
      <w:r w:rsidRPr="00090109">
        <w:rPr>
          <w:rFonts w:ascii="Tahoma" w:hAnsi="Tahoma" w:cs="Tahoma"/>
          <w:sz w:val="19"/>
          <w:szCs w:val="19"/>
        </w:rPr>
        <w:t xml:space="preserve">Oprogramowanie może także zawierać składniki podlegające licencjom na oprogramowanie open source, w których znajdują się określone zobowiązania w zakresie dostępności kodu źródłowego. Takie ewentualne postanowienia licencyjne zamieszczono w plikach ThirdPartyNotices. Licencjobiorca może uzyskać od Microsoft ten kod źródłowy, o ile i w takim zakresie, w jakim jest to wymagane na mocy stosownych licencji na oprogramowanie open source, zgodnie z opisem podanym w plikach ThirdPartyNotices. Kopię kodu źródłowego można też znaleźć pod adresem </w:t>
      </w:r>
      <w:hyperlink r:id="rId10" w:history="1">
        <w:r w:rsidRPr="00090109">
          <w:rPr>
            <w:rStyle w:val="Hyperlink"/>
            <w:rFonts w:ascii="Tahoma" w:hAnsi="Tahoma" w:cs="Tahoma"/>
            <w:sz w:val="19"/>
            <w:szCs w:val="19"/>
          </w:rPr>
          <w:t>https://thirdpartysource.microsoft.com/</w:t>
        </w:r>
      </w:hyperlink>
      <w:r w:rsidRPr="00090109">
        <w:rPr>
          <w:rFonts w:ascii="Tahoma" w:eastAsia="MS Mincho" w:hAnsi="Tahoma" w:cs="Tahoma"/>
          <w:sz w:val="19"/>
          <w:szCs w:val="19"/>
        </w:rPr>
        <w:t>.</w:t>
      </w:r>
    </w:p>
    <w:p w14:paraId="4899FBD1" w14:textId="4BD443AD" w:rsidR="00AA0100" w:rsidRPr="00090109" w:rsidRDefault="0084687F" w:rsidP="002342D6">
      <w:pPr>
        <w:pStyle w:val="ListParagraph"/>
        <w:numPr>
          <w:ilvl w:val="0"/>
          <w:numId w:val="12"/>
        </w:numPr>
        <w:spacing w:after="160"/>
        <w:ind w:left="720"/>
        <w:rPr>
          <w:rFonts w:ascii="Tahoma" w:hAnsi="Tahoma" w:cs="Tahoma"/>
          <w:sz w:val="19"/>
          <w:szCs w:val="19"/>
        </w:rPr>
      </w:pPr>
      <w:r w:rsidRPr="00090109">
        <w:rPr>
          <w:rFonts w:ascii="Tahoma" w:hAnsi="Tahoma" w:cs="Tahoma"/>
          <w:b/>
          <w:bCs/>
          <w:sz w:val="19"/>
          <w:szCs w:val="19"/>
        </w:rPr>
        <w:t>Menedżery pakietów.</w:t>
      </w:r>
      <w:r w:rsidRPr="00090109">
        <w:rPr>
          <w:rFonts w:ascii="Tahoma" w:hAnsi="Tahoma" w:cs="Tahoma"/>
          <w:bCs/>
          <w:sz w:val="19"/>
          <w:szCs w:val="19"/>
        </w:rPr>
        <w:t xml:space="preserve"> </w:t>
      </w:r>
      <w:r w:rsidRPr="00090109">
        <w:rPr>
          <w:rFonts w:ascii="Tahoma" w:hAnsi="Tahoma" w:cs="Tahoma"/>
          <w:sz w:val="19"/>
          <w:szCs w:val="19"/>
        </w:rPr>
        <w:t>Oprogramowanie zawiera menedżery pakietów, takie jak NuGet, które dają Licencjobiorcy możliwość pobierania innych pakietów oprogramowania pochodzącego od Microsoft i osób trzecich w celu używania ich w aplikacjach Licencjobiorcy. Te pakiety podlegają odnośnym licencjom, a nie niniejszej umowie. Microsoft nie rozpowszechnia żadnych pakietów osób trzecich, a także nie udziela na nie licencji ani żadnej gwarancji.</w:t>
      </w:r>
    </w:p>
    <w:p w14:paraId="565E4C87" w14:textId="64744AC2" w:rsidR="003B5050" w:rsidRPr="00090109" w:rsidRDefault="00563EFB" w:rsidP="002342D6">
      <w:pPr>
        <w:pStyle w:val="Heading1"/>
        <w:tabs>
          <w:tab w:val="clear" w:pos="450"/>
          <w:tab w:val="num" w:pos="360"/>
        </w:tabs>
        <w:spacing w:before="0" w:after="160"/>
        <w:ind w:left="360" w:hanging="360"/>
        <w:rPr>
          <w:b w:val="0"/>
        </w:rPr>
      </w:pPr>
      <w:r w:rsidRPr="00090109">
        <w:t xml:space="preserve">DANE. </w:t>
      </w:r>
      <w:r w:rsidRPr="00090109">
        <w:rPr>
          <w:b w:val="0"/>
        </w:rPr>
        <w:t>Oprogramowanie może gromadzić informacje o Licencjobiorcy i sposobie, w jaki używa on oprogramowania, a także przesyłać takie informacje do Microsoft. Microsoft może wykorzystywać te informacje w celu świadczenia usług oraz w celu ulepszenia produktów i usług Microsoft. Licencjobiorca może zrezygnować z wielu scenariuszy (ale nie wszystkich), jak opisano w dokumentacji produktu. Więcej informacji na temat zbierania danych i ich używania można znaleźć w dokumentacji pomocy i ustanowionym przez Microsoft oświadczeniu o ochronie prywatności dostępnym pod adresem</w:t>
      </w:r>
      <w:r w:rsidRPr="00090109">
        <w:t xml:space="preserve"> </w:t>
      </w:r>
      <w:hyperlink r:id="rId11" w:history="1">
        <w:r w:rsidRPr="00090109">
          <w:rPr>
            <w:rStyle w:val="Hyperlink"/>
            <w:rFonts w:cs="Tahoma"/>
            <w:b w:val="0"/>
          </w:rPr>
          <w:t>https://go.microsoft.com/fwlink/?LinkID=824704</w:t>
        </w:r>
      </w:hyperlink>
      <w:r w:rsidRPr="00090109">
        <w:rPr>
          <w:b w:val="0"/>
        </w:rPr>
        <w:t>. Używanie przez Licencjobiorcę oprogramowania oznacza zgodę Licencjobiorcy na takie działania.</w:t>
      </w:r>
    </w:p>
    <w:p w14:paraId="7AAABB72" w14:textId="36C8A8A7" w:rsidR="00561C14" w:rsidRPr="00090109" w:rsidRDefault="00561C14" w:rsidP="002342D6">
      <w:pPr>
        <w:pStyle w:val="Heading1"/>
        <w:tabs>
          <w:tab w:val="clear" w:pos="450"/>
          <w:tab w:val="num" w:pos="360"/>
        </w:tabs>
        <w:spacing w:before="0" w:after="160"/>
        <w:ind w:left="360" w:hanging="360"/>
        <w:rPr>
          <w:b w:val="0"/>
        </w:rPr>
      </w:pPr>
      <w:r w:rsidRPr="00090109">
        <w:t xml:space="preserve">OPROGRAMOWANIE UWARUNKOWANE CZASOWO. </w:t>
      </w:r>
      <w:r w:rsidRPr="00090109">
        <w:rPr>
          <w:b w:val="0"/>
        </w:rPr>
        <w:t>Niniejsze oprogramowanie jest uwarunkowane czasowo i przestanie działać w dniu określonym w oprogramowaniu. W tym dniu wygasną też prawa Licencjobiorcy do korzystania z tego oprogramowania. Kiedy oprogramowanie przestanie działać, Licencjobiorca może nie mieć dostępu do kopii swojego kodu lub innych danych przechowywanych przez to oprogramowanie.</w:t>
      </w:r>
    </w:p>
    <w:p w14:paraId="02E5ED8B" w14:textId="2718495C" w:rsidR="00561C14" w:rsidRPr="00090109" w:rsidRDefault="00561C14" w:rsidP="00F13B7C">
      <w:pPr>
        <w:pStyle w:val="Heading1"/>
        <w:pageBreakBefore/>
        <w:tabs>
          <w:tab w:val="clear" w:pos="450"/>
          <w:tab w:val="num" w:pos="360"/>
        </w:tabs>
        <w:spacing w:before="0" w:after="160"/>
        <w:ind w:left="360" w:hanging="360"/>
        <w:rPr>
          <w:b w:val="0"/>
        </w:rPr>
      </w:pPr>
      <w:r w:rsidRPr="00090109">
        <w:lastRenderedPageBreak/>
        <w:t xml:space="preserve">OPROGRAMOWANIE W WERSJI WSTĘPNEJ. </w:t>
      </w:r>
      <w:r w:rsidRPr="00090109">
        <w:rPr>
          <w:b w:val="0"/>
        </w:rPr>
        <w:t>Niniejsze oprogramowanie jest w wersji wstępnej. Może zatem nie działać poprawnie lub działać inaczej niż ostateczna jego wersja. Microsoft może zamienić wersję wstępną na ostateczną wersję komercyjną. Microsoft nie ma obowiązku świadczyć na rzecz Licencjobiorcy usług konserwacji, pomocy technicznej ani aktualizacji w związku z oprogramowaniem.</w:t>
      </w:r>
    </w:p>
    <w:p w14:paraId="49D69AFA" w14:textId="77777777" w:rsidR="00661CED" w:rsidRPr="00090109" w:rsidRDefault="00561C14" w:rsidP="002342D6">
      <w:pPr>
        <w:pStyle w:val="Heading1"/>
        <w:tabs>
          <w:tab w:val="clear" w:pos="450"/>
          <w:tab w:val="num" w:pos="360"/>
        </w:tabs>
        <w:spacing w:before="0" w:after="160"/>
        <w:ind w:left="360" w:hanging="360"/>
        <w:rPr>
          <w:b w:val="0"/>
        </w:rPr>
      </w:pPr>
      <w:r w:rsidRPr="00090109">
        <w:t xml:space="preserve">UWAGI NA TEMAT PRODUKTU. </w:t>
      </w:r>
      <w:r w:rsidRPr="00090109">
        <w:rPr>
          <w:b w:val="0"/>
        </w:rPr>
        <w:t>Podzielenie się z Microsoft uwagami na temat oprogramowania jest równoznaczne z nieodpłatnym udzieleniem Microsoft prawa do używania, udostępniania oraz komercjalizacji tych uwag w dowolny sposób oraz w dowolnym celu. Licencjobiorca nie będzie przekazywać uwag, które byłyby objęte licencją, na mocy której Microsoft zmuszony byłby do udzielania osobom trzecim licencji na swoje oprogramowanie lub dokumentację z powodu włączenia do nich takich uwag. Prawa te pozostają w mocy po wygaśnięciu niniejszej umowy.</w:t>
      </w:r>
    </w:p>
    <w:p w14:paraId="44F6C521" w14:textId="65F29F44" w:rsidR="00561C14" w:rsidRPr="00090109" w:rsidRDefault="00561C14" w:rsidP="002342D6">
      <w:pPr>
        <w:pStyle w:val="Heading1"/>
        <w:tabs>
          <w:tab w:val="clear" w:pos="450"/>
          <w:tab w:val="num" w:pos="360"/>
        </w:tabs>
        <w:spacing w:before="0" w:after="160"/>
        <w:ind w:left="360" w:hanging="360"/>
        <w:rPr>
          <w:b w:val="0"/>
        </w:rPr>
      </w:pPr>
      <w:r w:rsidRPr="00090109">
        <w:t xml:space="preserve">ZAKRES LICENCJI. </w:t>
      </w:r>
      <w:r w:rsidRPr="00090109">
        <w:rPr>
          <w:b w:val="0"/>
        </w:rPr>
        <w:t>Oprogramowanie jest licencjonowane, a nie sprzedawane. Na mocy niniejszej umowy Licencjobiorca uzyskuje tylko niektóre prawa do używania oprogramowania. Microsoft zastrzega sobie wszystkie pozostałe prawa.</w:t>
      </w:r>
      <w:r w:rsidRPr="00090109">
        <w:t xml:space="preserve"> </w:t>
      </w:r>
      <w:r w:rsidRPr="00090109">
        <w:rPr>
          <w:b w:val="0"/>
        </w:rPr>
        <w:t>Licencjobiorca może korzystać z oprogramowania tylko w sposób wyraźnie dozwolony w niniejszej umowie.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Licencjobiorca nie może:</w:t>
      </w:r>
    </w:p>
    <w:p w14:paraId="49F5508A" w14:textId="77777777" w:rsidR="00D015E8" w:rsidRPr="00090109" w:rsidRDefault="00D015E8" w:rsidP="002342D6">
      <w:pPr>
        <w:pStyle w:val="Bullet4"/>
        <w:tabs>
          <w:tab w:val="clear" w:pos="1437"/>
          <w:tab w:val="num" w:pos="720"/>
        </w:tabs>
        <w:spacing w:before="0" w:after="160"/>
        <w:ind w:left="720" w:hanging="360"/>
      </w:pPr>
      <w:r w:rsidRPr="00090109">
        <w:t>omijać żadnych ograniczeń technicznych oprogramowania;</w:t>
      </w:r>
    </w:p>
    <w:p w14:paraId="631F97E5" w14:textId="790EBEBC" w:rsidR="00D015E8" w:rsidRPr="00090109" w:rsidRDefault="00D015E8" w:rsidP="002342D6">
      <w:pPr>
        <w:pStyle w:val="Bullet4"/>
        <w:tabs>
          <w:tab w:val="clear" w:pos="1437"/>
          <w:tab w:val="num" w:pos="720"/>
        </w:tabs>
        <w:spacing w:before="0" w:after="160"/>
        <w:ind w:left="720" w:hanging="360"/>
        <w:rPr>
          <w:rFonts w:eastAsia="SimSun"/>
        </w:rPr>
      </w:pPr>
      <w:r w:rsidRPr="00090109">
        <w:rPr>
          <w:rFonts w:eastAsia="SimSun"/>
        </w:rPr>
        <w:t xml:space="preserve">odtwarzać, dekompilować ani dezasemblować oprogramowania, </w:t>
      </w:r>
      <w:r w:rsidRPr="00090109">
        <w:t>ani w inny sposób podejmować prób pozyskania kodu źródłowego z oprogramowania, chyba że w przypadku i tylko w takim zakresie, w jakim jest to wymagane na mocy ustanowionych przez osoby trzecie postanowień licencyjnych mających zastosowanie do używania określonych składników podlegających licencji open source, które mogą być dołączone do oprogramowania</w:t>
      </w:r>
      <w:r w:rsidRPr="00090109">
        <w:rPr>
          <w:rFonts w:eastAsia="SimSun"/>
        </w:rPr>
        <w:t>;</w:t>
      </w:r>
    </w:p>
    <w:p w14:paraId="4E131D42" w14:textId="77777777" w:rsidR="00D015E8" w:rsidRPr="00090109" w:rsidRDefault="00D015E8" w:rsidP="002342D6">
      <w:pPr>
        <w:pStyle w:val="Bullet4"/>
        <w:tabs>
          <w:tab w:val="clear" w:pos="1437"/>
          <w:tab w:val="num" w:pos="720"/>
        </w:tabs>
        <w:spacing w:before="0" w:after="160"/>
        <w:ind w:left="720" w:hanging="360"/>
      </w:pPr>
      <w:r w:rsidRPr="00090109">
        <w:t>usuwać, minimalizować, blokować ani modyfikować żadnych powiadomień Microsoft ani dostawców Microsoft umieszczonych w oprogramowaniu;</w:t>
      </w:r>
    </w:p>
    <w:p w14:paraId="4E564A7D" w14:textId="77777777" w:rsidR="00D015E8" w:rsidRPr="00090109" w:rsidRDefault="00D015E8" w:rsidP="002342D6">
      <w:pPr>
        <w:pStyle w:val="Bullet4"/>
        <w:tabs>
          <w:tab w:val="clear" w:pos="1437"/>
          <w:tab w:val="num" w:pos="720"/>
        </w:tabs>
        <w:spacing w:before="0" w:after="160"/>
        <w:ind w:left="720" w:hanging="360"/>
      </w:pPr>
      <w:r w:rsidRPr="00090109">
        <w:t>używać oprogramowania w sposób niezgodny z prawem lub</w:t>
      </w:r>
    </w:p>
    <w:p w14:paraId="6AAB6F68" w14:textId="17C6F08F" w:rsidR="00AD48A4" w:rsidRPr="00090109" w:rsidRDefault="00141F26" w:rsidP="002342D6">
      <w:pPr>
        <w:pStyle w:val="Bullet4"/>
        <w:tabs>
          <w:tab w:val="clear" w:pos="1437"/>
          <w:tab w:val="num" w:pos="720"/>
        </w:tabs>
        <w:spacing w:before="0" w:after="160"/>
        <w:ind w:left="720" w:hanging="360"/>
      </w:pPr>
      <w:r w:rsidRPr="00090109">
        <w:t>udostępniać, publikować ani wynajmować oprogramowania, dostarczać go w postaci samodzielnego rozwiązania w celu używania go przez inne osoby ani przenosić tego oprogramowania lub niniejszej umowy na osobę trzecią.</w:t>
      </w:r>
      <w:r w:rsidR="00136583">
        <w:t xml:space="preserve"> </w:t>
      </w:r>
    </w:p>
    <w:p w14:paraId="4DDDCEE8" w14:textId="10938FC4" w:rsidR="00561C14" w:rsidRPr="00235CA1" w:rsidRDefault="00561C14" w:rsidP="002342D6">
      <w:pPr>
        <w:pStyle w:val="Heading1"/>
        <w:tabs>
          <w:tab w:val="clear" w:pos="450"/>
          <w:tab w:val="num" w:pos="360"/>
        </w:tabs>
        <w:spacing w:before="0" w:after="160"/>
        <w:ind w:left="360" w:hanging="360"/>
        <w:rPr>
          <w:rStyle w:val="Hyperlink"/>
          <w:rFonts w:eastAsia="SimSun" w:cs="Tahoma"/>
          <w:b w:val="0"/>
          <w:bCs w:val="0"/>
          <w:color w:val="auto"/>
        </w:rPr>
      </w:pPr>
      <w:r w:rsidRPr="00090109">
        <w:t xml:space="preserve">OGRANICZENIA EKSPORTOWE. </w:t>
      </w:r>
      <w:r w:rsidRPr="00090109">
        <w:rPr>
          <w:b w:val="0"/>
        </w:rPr>
        <w:t>Licencjobiorca musi przestrzegać wszelkich krajowych i międzynarodowych przepisów prawa eksportowego mających zastosowanie do oprogramowania, które obejmują ograniczenia dotyczące kraju przeznaczenia, użytkowników końcowych i końcowego użycia. Więcej informacji na temat ograniczeń eksportowych można znaleźć pod adresem</w:t>
      </w:r>
      <w:r w:rsidRPr="0060272C">
        <w:rPr>
          <w:b w:val="0"/>
          <w:bCs w:val="0"/>
        </w:rPr>
        <w:t xml:space="preserve"> </w:t>
      </w:r>
      <w:hyperlink r:id="rId12" w:history="1">
        <w:r w:rsidRPr="00090109">
          <w:rPr>
            <w:rStyle w:val="Hyperlink"/>
            <w:rFonts w:eastAsia="SimSun" w:cs="Tahoma"/>
            <w:b w:val="0"/>
          </w:rPr>
          <w:t>www.microsoft.com/exporting</w:t>
        </w:r>
      </w:hyperlink>
      <w:r w:rsidRPr="00235CA1">
        <w:rPr>
          <w:b w:val="0"/>
          <w:bCs w:val="0"/>
        </w:rPr>
        <w:t>.</w:t>
      </w:r>
    </w:p>
    <w:p w14:paraId="51578A39" w14:textId="07FF0130" w:rsidR="00561C14" w:rsidRPr="00090109" w:rsidRDefault="00561C14" w:rsidP="002342D6">
      <w:pPr>
        <w:pStyle w:val="Heading1"/>
        <w:tabs>
          <w:tab w:val="clear" w:pos="450"/>
          <w:tab w:val="num" w:pos="360"/>
        </w:tabs>
        <w:spacing w:before="0" w:after="160"/>
        <w:ind w:left="360" w:hanging="360"/>
        <w:rPr>
          <w:b w:val="0"/>
        </w:rPr>
      </w:pPr>
      <w:r w:rsidRPr="00090109">
        <w:t xml:space="preserve">POMOC TECHNICZNA. </w:t>
      </w:r>
      <w:r w:rsidRPr="00090109">
        <w:rPr>
          <w:b w:val="0"/>
        </w:rPr>
        <w:t>Niniejsze oprogramowanie jest udostępniane Licencjobiorcy w stanie „takim, w jakim jest”, w związku z czym Microsoft może nie świadczyć związanych z tym oprogramowaniem usług pomocy technicznej.</w:t>
      </w:r>
    </w:p>
    <w:p w14:paraId="265E94C9" w14:textId="77777777" w:rsidR="00561C14" w:rsidRPr="00090109" w:rsidRDefault="00561C14" w:rsidP="002342D6">
      <w:pPr>
        <w:pStyle w:val="Heading1"/>
        <w:tabs>
          <w:tab w:val="clear" w:pos="450"/>
          <w:tab w:val="num" w:pos="360"/>
        </w:tabs>
        <w:spacing w:before="0" w:after="160"/>
        <w:ind w:left="360" w:hanging="360"/>
        <w:rPr>
          <w:b w:val="0"/>
        </w:rPr>
      </w:pPr>
      <w:r w:rsidRPr="00090109">
        <w:t xml:space="preserve">CAŁOŚĆ UMOWY. </w:t>
      </w:r>
      <w:r w:rsidRPr="00090109">
        <w:rPr>
          <w:b w:val="0"/>
        </w:rPr>
        <w:t>Niniejsza umowa wraz ze wszystkimi postanowieniami dotyczącymi uzupełnień, aktualizacji, usług internetowych i usług pomocy technicznej, z których korzysta Licencjobiorca, stanowią całość umowy dotyczącej oprogramowania i usług pomocy technicznej.</w:t>
      </w:r>
    </w:p>
    <w:p w14:paraId="157EA1F6" w14:textId="619C7114" w:rsidR="00561C14" w:rsidRPr="00090109" w:rsidRDefault="00561C14" w:rsidP="002342D6">
      <w:pPr>
        <w:pStyle w:val="Heading1"/>
        <w:tabs>
          <w:tab w:val="clear" w:pos="450"/>
          <w:tab w:val="num" w:pos="360"/>
        </w:tabs>
        <w:spacing w:before="0" w:after="160"/>
        <w:ind w:left="360" w:hanging="360"/>
        <w:rPr>
          <w:rFonts w:eastAsia="SimSun"/>
          <w:b w:val="0"/>
        </w:rPr>
      </w:pPr>
      <w:r w:rsidRPr="00090109">
        <w:rPr>
          <w:rFonts w:eastAsia="SimSun"/>
        </w:rPr>
        <w:t>PRAWO WŁAŚCIWE</w:t>
      </w:r>
      <w:r w:rsidR="00DA54ED">
        <w:rPr>
          <w:rFonts w:eastAsia="SimSun"/>
        </w:rPr>
        <w:t>.</w:t>
      </w:r>
      <w:r w:rsidR="00136583">
        <w:rPr>
          <w:rFonts w:eastAsia="SimSun"/>
        </w:rPr>
        <w:t xml:space="preserve"> </w:t>
      </w:r>
      <w:r w:rsidRPr="00090109">
        <w:rPr>
          <w:b w:val="0"/>
        </w:rPr>
        <w:t>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w:t>
      </w:r>
    </w:p>
    <w:p w14:paraId="36182406" w14:textId="77777777" w:rsidR="00141F26" w:rsidRPr="00090109" w:rsidRDefault="00141F26" w:rsidP="002342D6">
      <w:pPr>
        <w:pStyle w:val="Heading1"/>
        <w:tabs>
          <w:tab w:val="clear" w:pos="450"/>
          <w:tab w:val="num" w:pos="360"/>
        </w:tabs>
        <w:spacing w:before="0" w:after="160"/>
        <w:ind w:left="360" w:hanging="360"/>
        <w:rPr>
          <w:b w:val="0"/>
        </w:rPr>
      </w:pPr>
      <w:r w:rsidRPr="00090109">
        <w:t xml:space="preserve">PRAWA KONSUMENTA — RÓŻNICE REGIONALNE. </w:t>
      </w:r>
      <w:r w:rsidRPr="00090109">
        <w:rPr>
          <w:b w:val="0"/>
        </w:rPr>
        <w:t xml:space="preserve">W niniejszej umowie zostały przedstawione niektóre z uprawnień przysługujących stronom. Licencjobiorcy mogą przysługiwać inne uprawnienia, w tym uprawnienia konsumenta, na mocy przepisów prawa obowiązujących w stanie lub kraju Licencjobiorcy. </w:t>
      </w:r>
      <w:r w:rsidRPr="00090109">
        <w:rPr>
          <w:b w:val="0"/>
        </w:rPr>
        <w:lastRenderedPageBreak/>
        <w:t>Niezależnie od charakteru relacji, jakie Licencjobiorca utrzymuje z Microsoft, Licencjobiorcy mogą też przysługiwać określone uprawnienia względem strony, od której nabył oprogramowanie. Niniejsza umowa nie zmienia tych innych uprawnień, jeśli przepisy prawa przysługujące Licencjobiorcy na mocy ustawodawstwa stanowego lub krajowego nie zezwalają na takie zmiany. Na przykład, jeśli Licencjobiorca nabył oprogramowanie w jednym z poniższych regionów lub w przypadku obowiązywania obowiązkowego prawa krajowego, wtedy Licencjobiorca stosuje się do poniższych postanowień:</w:t>
      </w:r>
    </w:p>
    <w:p w14:paraId="572AC2DC" w14:textId="77777777" w:rsidR="00141F26" w:rsidRPr="00090109" w:rsidRDefault="00141F26" w:rsidP="002342D6">
      <w:pPr>
        <w:pStyle w:val="Heading2"/>
        <w:numPr>
          <w:ilvl w:val="0"/>
          <w:numId w:val="32"/>
        </w:numPr>
        <w:spacing w:before="0" w:after="160"/>
        <w:rPr>
          <w:b w:val="0"/>
        </w:rPr>
      </w:pPr>
      <w:r w:rsidRPr="00090109">
        <w:t xml:space="preserve">Australia. </w:t>
      </w:r>
      <w:r w:rsidRPr="00090109">
        <w:rPr>
          <w:b w:val="0"/>
        </w:rPr>
        <w:t>Australijska ustawa o ochronie konsumentów (ang. Australian Consumer Law) przyznaje Licencjobiorcy określone gwarancje i żadne z zawartych w tej umowie postanowień nie ma na celu ograniczenia tych uprawnień.</w:t>
      </w:r>
    </w:p>
    <w:p w14:paraId="1E82531B" w14:textId="77777777" w:rsidR="00141F26" w:rsidRPr="00090109" w:rsidRDefault="00141F26" w:rsidP="002342D6">
      <w:pPr>
        <w:pStyle w:val="Heading2"/>
        <w:numPr>
          <w:ilvl w:val="0"/>
          <w:numId w:val="32"/>
        </w:numPr>
        <w:spacing w:before="0" w:after="160"/>
        <w:rPr>
          <w:b w:val="0"/>
        </w:rPr>
      </w:pPr>
      <w:r w:rsidRPr="00090109">
        <w:t xml:space="preserve">Kanada. </w:t>
      </w:r>
      <w:r w:rsidRPr="00090109">
        <w:rPr>
          <w:b w:val="0"/>
        </w:rPr>
        <w:t>Jeśli Licencjobiorca nabył oprogramowanie w Kanadzie i nie chce już otrzymywać aktualizacji, może wyłączyć funkcję automatycznej aktualizacji, odłączyć swoje urządzenie od Internetu (w takim jednak przypadku po ponownym podłączeniu urządzenia do Internetu oprogramowanie wznowi wyszukiwanie i instalowanie aktualizacji) albo odinstalować oprogramowanie. Ewentualna dokumentacja produktu może także zawierać informacje na temat sposobu wyłączania funkcji aktualizacji w danym urządzeniu Licencjobiorcy lub w oprogramowaniu.</w:t>
      </w:r>
    </w:p>
    <w:p w14:paraId="08BAFCD7" w14:textId="77777777" w:rsidR="00141F26" w:rsidRPr="00090109" w:rsidRDefault="00141F26" w:rsidP="002342D6">
      <w:pPr>
        <w:pStyle w:val="Heading2"/>
        <w:numPr>
          <w:ilvl w:val="0"/>
          <w:numId w:val="32"/>
        </w:numPr>
        <w:spacing w:before="0" w:after="160"/>
      </w:pPr>
      <w:r w:rsidRPr="00090109">
        <w:t>Niemcy i Austria.</w:t>
      </w:r>
    </w:p>
    <w:p w14:paraId="08828945" w14:textId="77777777" w:rsidR="00141F26" w:rsidRPr="00090109" w:rsidRDefault="00141F26" w:rsidP="002342D6">
      <w:pPr>
        <w:spacing w:before="0" w:after="160"/>
        <w:ind w:left="1080" w:hanging="363"/>
      </w:pPr>
      <w:r w:rsidRPr="00090109">
        <w:rPr>
          <w:b/>
        </w:rPr>
        <w:t>(i)</w:t>
      </w:r>
      <w:r w:rsidRPr="00090109">
        <w:tab/>
      </w:r>
      <w:r w:rsidRPr="00090109">
        <w:rPr>
          <w:b/>
        </w:rPr>
        <w:t>Rękojmia</w:t>
      </w:r>
      <w:r w:rsidRPr="00D72CD7">
        <w:rPr>
          <w:b/>
          <w:bCs/>
        </w:rPr>
        <w:t xml:space="preserve">. </w:t>
      </w:r>
      <w:r w:rsidRPr="00090109">
        <w:t>Oprogramowanie objęte właściwą licencją będzie działać zasadniczo zgodnie z opisem znajdującym się we wszelkich materiałach Microsoft towarzyszących oprogramowaniu. Jednakże Microsoft nie udziela żadnych innych umownych gwarancji i zapewnień dotyczących licencjonowanego oprogramowania.</w:t>
      </w:r>
    </w:p>
    <w:p w14:paraId="12D8C248" w14:textId="77777777" w:rsidR="00141F26" w:rsidRPr="006A5163" w:rsidRDefault="00141F26" w:rsidP="002342D6">
      <w:pPr>
        <w:spacing w:before="0" w:after="160"/>
        <w:ind w:left="1080" w:hanging="363"/>
        <w:rPr>
          <w:spacing w:val="-2"/>
        </w:rPr>
      </w:pPr>
      <w:r w:rsidRPr="006A5163">
        <w:rPr>
          <w:b/>
          <w:spacing w:val="-2"/>
        </w:rPr>
        <w:t>(ii)</w:t>
      </w:r>
      <w:r w:rsidRPr="006A5163">
        <w:rPr>
          <w:spacing w:val="-2"/>
        </w:rPr>
        <w:tab/>
      </w:r>
      <w:r w:rsidRPr="006A5163">
        <w:rPr>
          <w:b/>
          <w:spacing w:val="-2"/>
        </w:rPr>
        <w:t>Ograniczenie odpowiedzialności</w:t>
      </w:r>
      <w:r w:rsidRPr="006A5163">
        <w:rPr>
          <w:b/>
          <w:bCs/>
          <w:spacing w:val="-2"/>
        </w:rPr>
        <w:t>.</w:t>
      </w:r>
      <w:r w:rsidRPr="006A5163">
        <w:rPr>
          <w:spacing w:val="-2"/>
        </w:rPr>
        <w:t xml:space="preserve"> W przypadku umyślnego działania, rażącego niedbalstwa, roszczeń opartych na ustawie o odpowiedzialności za produkt oraz w przypadku śmierci lub uszczerbku na zdrowiu Microsoft ponosi odpowiedzialność zgodnie z przepisami bezwzględnie obowiązującymi.</w:t>
      </w:r>
    </w:p>
    <w:p w14:paraId="20A21010" w14:textId="2E92A70D" w:rsidR="00141F26" w:rsidRPr="00090109" w:rsidRDefault="00141F26" w:rsidP="002342D6">
      <w:pPr>
        <w:pStyle w:val="Heading1"/>
        <w:numPr>
          <w:ilvl w:val="0"/>
          <w:numId w:val="0"/>
        </w:numPr>
        <w:spacing w:before="0" w:after="160"/>
        <w:ind w:left="717"/>
        <w:rPr>
          <w:b w:val="0"/>
        </w:rPr>
      </w:pPr>
      <w:r w:rsidRPr="00090109">
        <w:rPr>
          <w:b w:val="0"/>
        </w:rPr>
        <w:t>Z zastrzeżeniem postanowień zawartych w powyższym podpunkcie (ii), Microsoft ponosi odpowiedzialność jedynie z tytułu nieznacznego niedbalstwa w przypadku niewywiązania się ze swoich istotnych zobowiązań umownych, których naruszenie mogłoby stanowić zagrożenie dla realizacji celu niniejszej umowy, a co do wypełnienia których strona może mieć bezwzględne zaufanie (tzw. podstawowe zobowiązania umowne). Microsoft nie ponosi żadnej odpowiedzialności z tytułu pozostałych przypadków nieznacznego niedbalstwa.</w:t>
      </w:r>
    </w:p>
    <w:p w14:paraId="625B6D6C" w14:textId="77777777" w:rsidR="00561C14" w:rsidRPr="00090109" w:rsidRDefault="00561C14" w:rsidP="002342D6">
      <w:pPr>
        <w:pStyle w:val="Heading1"/>
        <w:tabs>
          <w:tab w:val="clear" w:pos="450"/>
          <w:tab w:val="num" w:pos="360"/>
        </w:tabs>
        <w:spacing w:before="0" w:after="160"/>
        <w:ind w:left="360" w:hanging="360"/>
      </w:pPr>
      <w:r w:rsidRPr="00090109">
        <w:t>ODRZUCENIE ODPOWIEDZIALNOŚCI Z TYTUŁU RĘKOJMI I GWARANCJI. OPROGRAMOWANIE JEST LICENCJONOWANE W STANIE „TAKIM, W JAKIM JEST”. WSZELKIE RYZYKO ZWIĄZANE Z KORZYSTANIEM Z OPROGRAMOWANIA PONOSI LICENCJOBIORCA. MICROSOFT NIE UDZIELA ŻADNYCH WYRAŹNYCH RĘKOJMI, GWARANCJI ANI ZAPEWNIEŃ DOTYCZĄCYCH USŁUG I OPROGRAMOWANIA. W ZAKRESIE DOZWOLONYM PRZEZ PRAWO MIEJSCOWE MICROSOFT NINIEJSZYM WYŁĄCZA SWOJĄ ODPOWIEDZIALNOŚĆ Z TYTUŁU DOROZUMIANYCH RĘKOJMI I GWARANCJI DOTYCZĄCYCH OPROGRAMOWANIA, W TYM GWARANCJI Z TYTUŁU WARTOŚCI HANDLOWEJ, PRZYDATNOŚCI DO OKREŚLONEGO CELU ORAZ BRAKU NARUSZEŃ PRAW OSÓB TRZECICH.</w:t>
      </w:r>
    </w:p>
    <w:p w14:paraId="6881C3DD" w14:textId="45B83040" w:rsidR="00561C14" w:rsidRPr="00090109" w:rsidRDefault="00561C14" w:rsidP="002342D6">
      <w:pPr>
        <w:pStyle w:val="Heading1"/>
        <w:tabs>
          <w:tab w:val="clear" w:pos="450"/>
          <w:tab w:val="num" w:pos="360"/>
        </w:tabs>
        <w:spacing w:before="0" w:after="160"/>
        <w:ind w:left="360" w:hanging="360"/>
      </w:pPr>
      <w:r w:rsidRPr="00090109">
        <w:rPr>
          <w:rFonts w:eastAsia="SimSun"/>
        </w:rPr>
        <w:t>OGRANICZENIE ODPOWIEDZIALNOŚCI ODSZKODOWAWCZEJ</w:t>
      </w:r>
      <w:r w:rsidRPr="00090109">
        <w:t>. MICROSOFT I DOSTAWCY MICROSOFT PONOSZĄ ODPOWIEDZIALNOŚĆ WYŁĄCZNIE ZA SZKODY BEZPOŚREDNIE DO KWOTY 5,00 USD. LICENCJOBIORCA NIE MOŻE DOCHODZIĆ ROSZCZEŃ Z TYTUŁU ŻADNYCH INNYCH SZKÓD, W TYM SZKÓD WYNIKAJĄCYCH Z UTRATY ZYSKÓW, SZKÓD WTÓRNYCH, SZCZEGÓLNYCH, POŚREDNICH ANI UBOCZNYCH.</w:t>
      </w:r>
    </w:p>
    <w:p w14:paraId="5543EA3F" w14:textId="6AE0ECF8" w:rsidR="00561C14" w:rsidRPr="00090109" w:rsidRDefault="00561C14" w:rsidP="002342D6">
      <w:pPr>
        <w:pStyle w:val="Body1"/>
        <w:spacing w:before="0" w:after="160"/>
        <w:ind w:left="360"/>
      </w:pPr>
      <w:r w:rsidRPr="00090109">
        <w:t>Ograniczenie to ma zastosowanie w przypadku (a) wszelkich kwestii dotyczących oprogramowania, usług, treści (w tym kodu) udostępnianych na stronach internetowych osób trzecich lub aplikacji osób trzecich, a także w przypadku (b) roszczeń z tytułu naruszenia umowy, rękojmi, gwarancji lub zapewnień lub z tytułu odpowiedzialności obiektywnej, niedbalstwa lub czynu niedozwolonego, w zakresie dozwolonym przez prawo właściwe.</w:t>
      </w:r>
    </w:p>
    <w:p w14:paraId="297E617C" w14:textId="77777777" w:rsidR="00561C14" w:rsidRPr="00090109" w:rsidRDefault="00561C14" w:rsidP="002342D6">
      <w:pPr>
        <w:spacing w:before="0" w:after="160"/>
        <w:ind w:left="360"/>
      </w:pPr>
      <w:r w:rsidRPr="00090109">
        <w:lastRenderedPageBreak/>
        <w:t>Ograniczenie to ma zastosowanie także w przypadku, gdy Microsoft wiedział lub powinien był wiedzieć o możliwości powstania takich szkód. Powyższe ograniczenie i wyłączenie mogą nie dotyczyć Licencjobiorcy w przypadku, gdy na mocy prawa krajowego lub stanowego nie jest dozwolone wyłączenie ani ograniczenie odpowiedzialności za szkody uboczne, wtórne itp.</w:t>
      </w:r>
    </w:p>
    <w:p w14:paraId="72D3FB7E" w14:textId="7EEC46AF" w:rsidR="00396E3C" w:rsidRPr="00090109" w:rsidRDefault="00B32E69" w:rsidP="00CF7DEE">
      <w:pPr>
        <w:spacing w:before="0" w:after="160"/>
        <w:ind w:hanging="357"/>
      </w:pPr>
      <w:r w:rsidRPr="00090109">
        <w:rPr>
          <w:rFonts w:eastAsia="Times New Roman"/>
          <w:color w:val="000000"/>
        </w:rPr>
        <w:t xml:space="preserve">EULAID: </w:t>
      </w:r>
      <w:r w:rsidRPr="00090109">
        <w:rPr>
          <w:rFonts w:eastAsia="Times New Roman"/>
          <w:color w:val="1F3864"/>
        </w:rPr>
        <w:t>VS2017_CTP_EVAL_VS_</w:t>
      </w:r>
      <w:r w:rsidR="00CF7DEE">
        <w:rPr>
          <w:rFonts w:eastAsia="Times New Roman"/>
          <w:color w:val="1F3864"/>
        </w:rPr>
        <w:t>P</w:t>
      </w:r>
      <w:r w:rsidR="00785144">
        <w:rPr>
          <w:rFonts w:eastAsia="Times New Roman"/>
          <w:color w:val="1F3864"/>
        </w:rPr>
        <w:t>LK</w:t>
      </w:r>
      <w:bookmarkStart w:id="0" w:name="_GoBack"/>
      <w:bookmarkEnd w:id="0"/>
      <w:r w:rsidRPr="00090109">
        <w:rPr>
          <w:rFonts w:eastAsia="Times New Roman"/>
          <w:color w:val="1F3864"/>
        </w:rPr>
        <w:t>.2 </w:t>
      </w:r>
    </w:p>
    <w:sectPr w:rsidR="00396E3C" w:rsidRPr="000901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B5C09" w14:textId="77777777" w:rsidR="00061AD9" w:rsidRDefault="00061AD9" w:rsidP="003A7232">
      <w:pPr>
        <w:spacing w:before="0" w:after="0"/>
      </w:pPr>
      <w:r>
        <w:separator/>
      </w:r>
    </w:p>
  </w:endnote>
  <w:endnote w:type="continuationSeparator" w:id="0">
    <w:p w14:paraId="1224FED4" w14:textId="77777777" w:rsidR="00061AD9" w:rsidRDefault="00061AD9" w:rsidP="003A72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Univer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0DD21" w14:textId="77777777" w:rsidR="00061AD9" w:rsidRDefault="00061AD9" w:rsidP="003A7232">
      <w:pPr>
        <w:spacing w:before="0" w:after="0"/>
      </w:pPr>
      <w:r>
        <w:separator/>
      </w:r>
    </w:p>
  </w:footnote>
  <w:footnote w:type="continuationSeparator" w:id="0">
    <w:p w14:paraId="1E3E9F9B" w14:textId="77777777" w:rsidR="00061AD9" w:rsidRDefault="00061AD9" w:rsidP="003A723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51C57"/>
    <w:multiLevelType w:val="multilevel"/>
    <w:tmpl w:val="D310A3E6"/>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19"/>
        <w:szCs w:val="19"/>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06A09"/>
    <w:rsid w:val="000224DF"/>
    <w:rsid w:val="00035AD8"/>
    <w:rsid w:val="000412E4"/>
    <w:rsid w:val="000475AB"/>
    <w:rsid w:val="00055A8F"/>
    <w:rsid w:val="00056CC6"/>
    <w:rsid w:val="000603AE"/>
    <w:rsid w:val="00061AD9"/>
    <w:rsid w:val="000632D9"/>
    <w:rsid w:val="00073C7B"/>
    <w:rsid w:val="00074A31"/>
    <w:rsid w:val="00082790"/>
    <w:rsid w:val="00090109"/>
    <w:rsid w:val="000B6D90"/>
    <w:rsid w:val="000D5258"/>
    <w:rsid w:val="000D57A3"/>
    <w:rsid w:val="000E775D"/>
    <w:rsid w:val="000F22A4"/>
    <w:rsid w:val="00100963"/>
    <w:rsid w:val="00102582"/>
    <w:rsid w:val="00106D90"/>
    <w:rsid w:val="00136583"/>
    <w:rsid w:val="00136B59"/>
    <w:rsid w:val="001372CC"/>
    <w:rsid w:val="00141F26"/>
    <w:rsid w:val="00145590"/>
    <w:rsid w:val="00153AE0"/>
    <w:rsid w:val="00165465"/>
    <w:rsid w:val="001A16BC"/>
    <w:rsid w:val="001C078A"/>
    <w:rsid w:val="001C2A65"/>
    <w:rsid w:val="001C2CBE"/>
    <w:rsid w:val="001D79EA"/>
    <w:rsid w:val="001E34BE"/>
    <w:rsid w:val="001E552B"/>
    <w:rsid w:val="001F7F3D"/>
    <w:rsid w:val="00200841"/>
    <w:rsid w:val="002050BD"/>
    <w:rsid w:val="002214F9"/>
    <w:rsid w:val="00230B59"/>
    <w:rsid w:val="002342D6"/>
    <w:rsid w:val="00235CA1"/>
    <w:rsid w:val="0024138C"/>
    <w:rsid w:val="00243B16"/>
    <w:rsid w:val="002728EA"/>
    <w:rsid w:val="00290ACF"/>
    <w:rsid w:val="002917D4"/>
    <w:rsid w:val="0029683E"/>
    <w:rsid w:val="00296BEA"/>
    <w:rsid w:val="002B30DE"/>
    <w:rsid w:val="002B3B99"/>
    <w:rsid w:val="002B61B3"/>
    <w:rsid w:val="002D6E56"/>
    <w:rsid w:val="00314D64"/>
    <w:rsid w:val="00331E93"/>
    <w:rsid w:val="003365BA"/>
    <w:rsid w:val="00376644"/>
    <w:rsid w:val="00396E3C"/>
    <w:rsid w:val="003A7232"/>
    <w:rsid w:val="003B5050"/>
    <w:rsid w:val="003C37A1"/>
    <w:rsid w:val="003D1BE4"/>
    <w:rsid w:val="003E1F6C"/>
    <w:rsid w:val="003F63B4"/>
    <w:rsid w:val="00400EAC"/>
    <w:rsid w:val="00407C5A"/>
    <w:rsid w:val="00407CCA"/>
    <w:rsid w:val="00412331"/>
    <w:rsid w:val="0041396C"/>
    <w:rsid w:val="00413ED5"/>
    <w:rsid w:val="00417214"/>
    <w:rsid w:val="00431BCC"/>
    <w:rsid w:val="004446EF"/>
    <w:rsid w:val="004B5229"/>
    <w:rsid w:val="004C3AAC"/>
    <w:rsid w:val="004D20F2"/>
    <w:rsid w:val="005114EC"/>
    <w:rsid w:val="005256C7"/>
    <w:rsid w:val="00536564"/>
    <w:rsid w:val="00536DF3"/>
    <w:rsid w:val="00541550"/>
    <w:rsid w:val="00543875"/>
    <w:rsid w:val="005506A4"/>
    <w:rsid w:val="00551D5D"/>
    <w:rsid w:val="005549F4"/>
    <w:rsid w:val="00561C14"/>
    <w:rsid w:val="00563EFB"/>
    <w:rsid w:val="005A0C75"/>
    <w:rsid w:val="005A43CF"/>
    <w:rsid w:val="005B2BF0"/>
    <w:rsid w:val="005C17E8"/>
    <w:rsid w:val="005C4E42"/>
    <w:rsid w:val="005D08BE"/>
    <w:rsid w:val="005E3CEB"/>
    <w:rsid w:val="005F4798"/>
    <w:rsid w:val="0060272C"/>
    <w:rsid w:val="006036AD"/>
    <w:rsid w:val="006265EF"/>
    <w:rsid w:val="00636B2C"/>
    <w:rsid w:val="006502F4"/>
    <w:rsid w:val="00661CED"/>
    <w:rsid w:val="0066355C"/>
    <w:rsid w:val="00667F7B"/>
    <w:rsid w:val="006804B8"/>
    <w:rsid w:val="006833EF"/>
    <w:rsid w:val="006A5163"/>
    <w:rsid w:val="006A74DC"/>
    <w:rsid w:val="006C501F"/>
    <w:rsid w:val="006E6981"/>
    <w:rsid w:val="006F342A"/>
    <w:rsid w:val="0070256E"/>
    <w:rsid w:val="0070661B"/>
    <w:rsid w:val="007133B3"/>
    <w:rsid w:val="007134FC"/>
    <w:rsid w:val="00732DD7"/>
    <w:rsid w:val="00740F6E"/>
    <w:rsid w:val="00754170"/>
    <w:rsid w:val="007579C4"/>
    <w:rsid w:val="00764E1A"/>
    <w:rsid w:val="00785144"/>
    <w:rsid w:val="007867E0"/>
    <w:rsid w:val="007954AD"/>
    <w:rsid w:val="007B3889"/>
    <w:rsid w:val="007C6A8E"/>
    <w:rsid w:val="007F1DF1"/>
    <w:rsid w:val="008034A9"/>
    <w:rsid w:val="008060BE"/>
    <w:rsid w:val="00824218"/>
    <w:rsid w:val="0083050A"/>
    <w:rsid w:val="008352E8"/>
    <w:rsid w:val="00845E6D"/>
    <w:rsid w:val="0084687F"/>
    <w:rsid w:val="008640F1"/>
    <w:rsid w:val="008668FC"/>
    <w:rsid w:val="00870029"/>
    <w:rsid w:val="008723A0"/>
    <w:rsid w:val="00894F25"/>
    <w:rsid w:val="0089566E"/>
    <w:rsid w:val="008A1EEB"/>
    <w:rsid w:val="008E0C30"/>
    <w:rsid w:val="009009D1"/>
    <w:rsid w:val="00902CD0"/>
    <w:rsid w:val="009206E8"/>
    <w:rsid w:val="009254AF"/>
    <w:rsid w:val="00946C43"/>
    <w:rsid w:val="009476D1"/>
    <w:rsid w:val="00951E13"/>
    <w:rsid w:val="009721E3"/>
    <w:rsid w:val="00985582"/>
    <w:rsid w:val="00990706"/>
    <w:rsid w:val="009A1F56"/>
    <w:rsid w:val="009B07F5"/>
    <w:rsid w:val="009D0F96"/>
    <w:rsid w:val="009D5775"/>
    <w:rsid w:val="009E4EA1"/>
    <w:rsid w:val="009F2253"/>
    <w:rsid w:val="009F489C"/>
    <w:rsid w:val="00A038C5"/>
    <w:rsid w:val="00A1448B"/>
    <w:rsid w:val="00A26A74"/>
    <w:rsid w:val="00A36DC2"/>
    <w:rsid w:val="00A45676"/>
    <w:rsid w:val="00A73297"/>
    <w:rsid w:val="00A850C7"/>
    <w:rsid w:val="00A86FBD"/>
    <w:rsid w:val="00AA0100"/>
    <w:rsid w:val="00AB450C"/>
    <w:rsid w:val="00AD22E2"/>
    <w:rsid w:val="00AD48A4"/>
    <w:rsid w:val="00AD4F3A"/>
    <w:rsid w:val="00AD545F"/>
    <w:rsid w:val="00AE70A0"/>
    <w:rsid w:val="00B16B8E"/>
    <w:rsid w:val="00B17EE2"/>
    <w:rsid w:val="00B27648"/>
    <w:rsid w:val="00B32E69"/>
    <w:rsid w:val="00B93B4D"/>
    <w:rsid w:val="00BA3358"/>
    <w:rsid w:val="00BE2E12"/>
    <w:rsid w:val="00C012A0"/>
    <w:rsid w:val="00C05B7F"/>
    <w:rsid w:val="00C21CF3"/>
    <w:rsid w:val="00C249B7"/>
    <w:rsid w:val="00C41708"/>
    <w:rsid w:val="00C42B00"/>
    <w:rsid w:val="00C56CF0"/>
    <w:rsid w:val="00C66EC7"/>
    <w:rsid w:val="00C7673D"/>
    <w:rsid w:val="00C8335E"/>
    <w:rsid w:val="00C852AF"/>
    <w:rsid w:val="00CA3ED0"/>
    <w:rsid w:val="00CB1CFE"/>
    <w:rsid w:val="00CC0F55"/>
    <w:rsid w:val="00CC2EA1"/>
    <w:rsid w:val="00CD4F20"/>
    <w:rsid w:val="00CE75EA"/>
    <w:rsid w:val="00CF56F2"/>
    <w:rsid w:val="00CF725A"/>
    <w:rsid w:val="00CF7DEE"/>
    <w:rsid w:val="00D015E8"/>
    <w:rsid w:val="00D028FC"/>
    <w:rsid w:val="00D11AC6"/>
    <w:rsid w:val="00D154B4"/>
    <w:rsid w:val="00D478B0"/>
    <w:rsid w:val="00D5332D"/>
    <w:rsid w:val="00D5366A"/>
    <w:rsid w:val="00D72CD7"/>
    <w:rsid w:val="00D76620"/>
    <w:rsid w:val="00DA54ED"/>
    <w:rsid w:val="00DB152D"/>
    <w:rsid w:val="00DB15B2"/>
    <w:rsid w:val="00DF1827"/>
    <w:rsid w:val="00E16347"/>
    <w:rsid w:val="00E35AB1"/>
    <w:rsid w:val="00E4579E"/>
    <w:rsid w:val="00E8156A"/>
    <w:rsid w:val="00E858A3"/>
    <w:rsid w:val="00EA2EBE"/>
    <w:rsid w:val="00EA2F6C"/>
    <w:rsid w:val="00EA4B0F"/>
    <w:rsid w:val="00EB70C9"/>
    <w:rsid w:val="00EC19D1"/>
    <w:rsid w:val="00EC7E1B"/>
    <w:rsid w:val="00ED449D"/>
    <w:rsid w:val="00EF687F"/>
    <w:rsid w:val="00F13B7C"/>
    <w:rsid w:val="00F31D78"/>
    <w:rsid w:val="00F361EA"/>
    <w:rsid w:val="00F439D1"/>
    <w:rsid w:val="00F547CF"/>
    <w:rsid w:val="00F77B4C"/>
    <w:rsid w:val="00F81F46"/>
    <w:rsid w:val="00F85139"/>
    <w:rsid w:val="00F91367"/>
    <w:rsid w:val="00F92856"/>
    <w:rsid w:val="00F9302D"/>
    <w:rsid w:val="00FA1BA1"/>
    <w:rsid w:val="00FA7239"/>
    <w:rsid w:val="00FB37B3"/>
    <w:rsid w:val="00FB78B3"/>
    <w:rsid w:val="00FE3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5163"/>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 w:type="paragraph" w:styleId="Header">
    <w:name w:val="header"/>
    <w:basedOn w:val="Normal"/>
    <w:link w:val="HeaderChar"/>
    <w:uiPriority w:val="99"/>
    <w:unhideWhenUsed/>
    <w:rsid w:val="003A7232"/>
    <w:pPr>
      <w:tabs>
        <w:tab w:val="center" w:pos="4680"/>
        <w:tab w:val="right" w:pos="9360"/>
      </w:tabs>
      <w:spacing w:before="0" w:after="0"/>
    </w:pPr>
  </w:style>
  <w:style w:type="character" w:customStyle="1" w:styleId="HeaderChar">
    <w:name w:val="Header Char"/>
    <w:basedOn w:val="DefaultParagraphFont"/>
    <w:link w:val="Header"/>
    <w:uiPriority w:val="99"/>
    <w:rsid w:val="003A7232"/>
    <w:rPr>
      <w:rFonts w:ascii="Tahoma" w:eastAsia="MS Mincho" w:hAnsi="Tahoma" w:cs="Tahoma"/>
      <w:sz w:val="19"/>
      <w:szCs w:val="19"/>
    </w:rPr>
  </w:style>
  <w:style w:type="paragraph" w:styleId="Footer">
    <w:name w:val="footer"/>
    <w:basedOn w:val="Normal"/>
    <w:link w:val="FooterChar"/>
    <w:uiPriority w:val="99"/>
    <w:unhideWhenUsed/>
    <w:rsid w:val="003A7232"/>
    <w:pPr>
      <w:tabs>
        <w:tab w:val="center" w:pos="4680"/>
        <w:tab w:val="right" w:pos="9360"/>
      </w:tabs>
      <w:spacing w:before="0" w:after="0"/>
    </w:pPr>
  </w:style>
  <w:style w:type="character" w:customStyle="1" w:styleId="FooterChar">
    <w:name w:val="Footer Char"/>
    <w:basedOn w:val="DefaultParagraphFont"/>
    <w:link w:val="Footer"/>
    <w:uiPriority w:val="99"/>
    <w:rsid w:val="003A7232"/>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microsoft.com/fwlink/?linkid=823097" TargetMode="External"/><Relationship Id="rId12" Type="http://schemas.openxmlformats.org/officeDocument/2006/relationships/hyperlink" Target="http://www.microsoft.com/ex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4704" TargetMode="External"/><Relationship Id="rId5" Type="http://schemas.openxmlformats.org/officeDocument/2006/relationships/footnotes" Target="footnotes.xml"/><Relationship Id="rId10" Type="http://schemas.openxmlformats.org/officeDocument/2006/relationships/hyperlink" Target="https://thirdpartysource.microsoft.com/" TargetMode="Externa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2017-03-10T17:43:00Z</dcterms:created>
  <dcterms:modified xsi:type="dcterms:W3CDTF">2017-03-10T17:43:00Z</dcterms:modified>
</cp:coreProperties>
</file>