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0B76" w14:textId="180420DD" w:rsidR="002342D6" w:rsidRPr="00E26AD6" w:rsidRDefault="00561C14" w:rsidP="002342D6">
      <w:pPr>
        <w:pStyle w:val="HeadingEULA"/>
        <w:spacing w:before="0" w:after="160"/>
        <w:ind w:left="0"/>
      </w:pPr>
      <w:r w:rsidRPr="00E26AD6">
        <w:t>MICROSOFT ÖN SÜRÜM YAZILIMI LİSANS KOŞULLARI</w:t>
      </w:r>
    </w:p>
    <w:p w14:paraId="320D2EE7" w14:textId="009CB226" w:rsidR="00073C7B" w:rsidRPr="00E26AD6" w:rsidRDefault="00561C14" w:rsidP="002342D6">
      <w:pPr>
        <w:pStyle w:val="HeadingEULA"/>
        <w:spacing w:before="0" w:after="160"/>
        <w:ind w:left="0"/>
      </w:pPr>
      <w:r w:rsidRPr="00E26AD6">
        <w:t>MICROSOFT VISUAL STUDIO 2017 AİLESİ ÖN SÜRÜM YAZILIMI</w:t>
      </w:r>
    </w:p>
    <w:p w14:paraId="3ECD3434" w14:textId="275EF870" w:rsidR="00561C14" w:rsidRPr="0008625C" w:rsidRDefault="00561C14" w:rsidP="002342D6">
      <w:pPr>
        <w:pStyle w:val="Preamble"/>
        <w:spacing w:before="0" w:after="160"/>
        <w:ind w:left="0"/>
        <w:rPr>
          <w:b w:val="0"/>
        </w:rPr>
      </w:pPr>
      <w:r w:rsidRPr="0008625C">
        <w:rPr>
          <w:b w:val="0"/>
        </w:rPr>
        <w:t>Bu lisans şartları, sizinle Microsoft Corporation (veya yaşadığınız yere göre Microsoft Corporation'ın bir bağlı kuruluşu) arasında yapılan anlaşmayı oluşturur. Bu koşullar, yukarıda adı geçen yayın öncesi sürüm yazılımı için geçerlidir. Koşullar, yazılım için tüm Microsoft hizmetleri veya güncelleştirmeleri için, beraberlerinde başka koşullar bulunmadığı sürece geçerlidir.</w:t>
      </w:r>
    </w:p>
    <w:p w14:paraId="61587206" w14:textId="77777777" w:rsidR="00561C14" w:rsidRPr="0008625C" w:rsidRDefault="008640F1" w:rsidP="002342D6">
      <w:pPr>
        <w:pStyle w:val="PreambleBorderAbove"/>
        <w:spacing w:before="0" w:after="160"/>
        <w:ind w:left="0"/>
      </w:pPr>
      <w:r w:rsidRPr="0008625C">
        <w:t>BU LİSANS ŞARTLARINA UYDUĞUNUZ TAKDİRDE AŞAĞIDAKİ HAKLARA SAHİP OLURSUNUZ.</w:t>
      </w:r>
    </w:p>
    <w:p w14:paraId="191B46CB" w14:textId="77777777" w:rsidR="00561C14" w:rsidRPr="0008625C" w:rsidRDefault="00561C14" w:rsidP="002342D6">
      <w:pPr>
        <w:pStyle w:val="Heading1"/>
        <w:tabs>
          <w:tab w:val="clear" w:pos="450"/>
          <w:tab w:val="num" w:pos="360"/>
        </w:tabs>
        <w:spacing w:before="0" w:after="160"/>
        <w:ind w:left="360" w:hanging="360"/>
      </w:pPr>
      <w:r w:rsidRPr="0008625C">
        <w:t xml:space="preserve">YÜKLEME VE KULLANIM HAKLARI. </w:t>
      </w:r>
    </w:p>
    <w:p w14:paraId="4677A1D4" w14:textId="3657C467" w:rsidR="00561C14" w:rsidRPr="0008625C" w:rsidRDefault="00561C14" w:rsidP="004446EF">
      <w:pPr>
        <w:pStyle w:val="CommentText"/>
        <w:numPr>
          <w:ilvl w:val="0"/>
          <w:numId w:val="38"/>
        </w:numPr>
        <w:rPr>
          <w:sz w:val="19"/>
          <w:szCs w:val="19"/>
        </w:rPr>
      </w:pPr>
      <w:r w:rsidRPr="0008625C">
        <w:rPr>
          <w:sz w:val="19"/>
          <w:szCs w:val="19"/>
        </w:rPr>
        <w:t>Yazılımın istediğiniz sayıda kopyasını yalnızca değerlendirme amacıyla kendi cihazlarınızda yükleyebilir ve kullanabilirsiniz. Yazılımı Microsoft Azure'de kullanırsanız ek ücretler ve koşullar söz konusu olabilir.</w:t>
      </w:r>
    </w:p>
    <w:p w14:paraId="768811D0" w14:textId="77777777" w:rsidR="00145590" w:rsidRPr="0008625C" w:rsidRDefault="00145590" w:rsidP="002342D6">
      <w:pPr>
        <w:pStyle w:val="Bullet3"/>
        <w:tabs>
          <w:tab w:val="clear" w:pos="1080"/>
          <w:tab w:val="num" w:pos="720"/>
        </w:tabs>
        <w:spacing w:before="0" w:after="160"/>
        <w:ind w:left="720" w:hanging="360"/>
        <w:rPr>
          <w:rFonts w:eastAsia="SimSun"/>
        </w:rPr>
      </w:pPr>
      <w:r w:rsidRPr="0008625C">
        <w:t>Sadece yazılımdaki dağıtım teknolojilerini değerlendirmek amacıyla kendi uygulamalarınızı kuruluş içinde dağıtabilecek olmanız dışında, bu yazılım ile geliştirdiğiniz hiçbir uygulamayı dağıtamazsınız</w:t>
      </w:r>
      <w:r w:rsidRPr="0008625C">
        <w:rPr>
          <w:rFonts w:eastAsia="SimSun"/>
        </w:rPr>
        <w:t>.</w:t>
      </w:r>
    </w:p>
    <w:p w14:paraId="5D20438F" w14:textId="77777777" w:rsidR="00C41708" w:rsidRPr="0008625C" w:rsidRDefault="00C41708" w:rsidP="002342D6">
      <w:pPr>
        <w:pStyle w:val="Bullet3"/>
        <w:tabs>
          <w:tab w:val="clear" w:pos="1080"/>
          <w:tab w:val="num" w:pos="720"/>
        </w:tabs>
        <w:spacing w:before="0" w:after="160"/>
        <w:ind w:left="720" w:hanging="360"/>
        <w:rPr>
          <w:rFonts w:eastAsia="SimSun"/>
        </w:rPr>
      </w:pPr>
      <w:r w:rsidRPr="0008625C">
        <w:t>Yazılımı, Microsoft başka bir anlaşma çerçevesinde izin vermedikçe canlı bir işletim ortamında test edemezsiniz.</w:t>
      </w:r>
    </w:p>
    <w:p w14:paraId="39CCAD7A" w14:textId="75DFA36B" w:rsidR="0089566E" w:rsidRPr="0008625C" w:rsidRDefault="008640F1" w:rsidP="002342D6">
      <w:pPr>
        <w:pStyle w:val="Heading1"/>
        <w:tabs>
          <w:tab w:val="clear" w:pos="450"/>
          <w:tab w:val="num" w:pos="360"/>
        </w:tabs>
        <w:spacing w:before="0" w:after="160"/>
        <w:ind w:left="360" w:hanging="360"/>
        <w:rPr>
          <w:rFonts w:eastAsia="SimSun"/>
        </w:rPr>
      </w:pPr>
      <w:r w:rsidRPr="0008625C">
        <w:t>ÖZEL BİLEŞENLER İÇİN ŞARTLAR.</w:t>
      </w:r>
    </w:p>
    <w:p w14:paraId="7C27E3B4" w14:textId="0C21F328" w:rsidR="007B3889" w:rsidRPr="0008625C" w:rsidRDefault="007B3889" w:rsidP="002342D6">
      <w:pPr>
        <w:pStyle w:val="ListParagraph"/>
        <w:numPr>
          <w:ilvl w:val="0"/>
          <w:numId w:val="12"/>
        </w:numPr>
        <w:spacing w:after="160"/>
        <w:ind w:left="720"/>
        <w:rPr>
          <w:rFonts w:ascii="Tahoma" w:hAnsi="Tahoma" w:cs="Tahoma"/>
          <w:bCs/>
          <w:sz w:val="19"/>
          <w:szCs w:val="19"/>
        </w:rPr>
      </w:pPr>
      <w:r w:rsidRPr="0008625C">
        <w:rPr>
          <w:rFonts w:ascii="Tahoma" w:hAnsi="Tahoma" w:cs="Tahoma"/>
          <w:b/>
          <w:sz w:val="19"/>
          <w:szCs w:val="19"/>
        </w:rPr>
        <w:t>Bileşenlerin Ayrılmayacağı; İş Yükleri.</w:t>
      </w:r>
      <w:r w:rsidRPr="0008625C">
        <w:rPr>
          <w:rFonts w:ascii="Tahoma" w:hAnsi="Tahoma" w:cs="Tahoma"/>
          <w:sz w:val="19"/>
          <w:szCs w:val="19"/>
        </w:rPr>
        <w:t xml:space="preserve"> Bu anlaşmada aksi belirtilmedikçe, (i) yazılımın bileşenleri tek bir birim olarak lisanslanmıştır ve (ii) bileşenleri ayıramaz ve farklı cihazlara yükleyemezsiniz. Bu anlaşma, bir İş Yükü veya İş Yükü bileşeni beraberinde farklı şartlarla sunulmadıkça, yazılım içerisinde kullanımınıza sunulan İş Yükleri kullanımınız için geçerlidir.</w:t>
      </w:r>
    </w:p>
    <w:p w14:paraId="4C406145" w14:textId="55D4695F" w:rsidR="00894F25" w:rsidRPr="0008625C" w:rsidRDefault="00894F25" w:rsidP="002342D6">
      <w:pPr>
        <w:pStyle w:val="ListParagraph"/>
        <w:numPr>
          <w:ilvl w:val="0"/>
          <w:numId w:val="12"/>
        </w:numPr>
        <w:spacing w:after="160"/>
        <w:ind w:left="720"/>
        <w:rPr>
          <w:rFonts w:ascii="Tahoma" w:hAnsi="Tahoma" w:cs="Tahoma"/>
          <w:sz w:val="19"/>
          <w:szCs w:val="19"/>
        </w:rPr>
      </w:pPr>
      <w:r w:rsidRPr="0008625C">
        <w:rPr>
          <w:rFonts w:ascii="Tahoma" w:hAnsi="Tahoma" w:cs="Tahoma"/>
          <w:b/>
          <w:sz w:val="19"/>
          <w:szCs w:val="19"/>
        </w:rPr>
        <w:t>Yardımcı Programlar.</w:t>
      </w:r>
      <w:r w:rsidRPr="0008625C">
        <w:rPr>
          <w:rFonts w:ascii="Tahoma" w:hAnsi="Tahoma" w:cs="Tahoma"/>
          <w:sz w:val="19"/>
          <w:szCs w:val="19"/>
        </w:rPr>
        <w:t xml:space="preserve"> Yazılım </w:t>
      </w:r>
      <w:hyperlink r:id="rId7" w:history="1">
        <w:r w:rsidRPr="0008625C">
          <w:rPr>
            <w:rStyle w:val="Hyperlink"/>
            <w:rFonts w:ascii="Tahoma" w:hAnsi="Tahoma" w:cs="Tahoma"/>
            <w:sz w:val="19"/>
            <w:szCs w:val="19"/>
          </w:rPr>
          <w:t>https://go.microsoft.com/fwlink/?linkid=823097</w:t>
        </w:r>
      </w:hyperlink>
      <w:r w:rsidRPr="0008625C">
        <w:rPr>
          <w:rFonts w:ascii="Tahoma" w:hAnsi="Tahoma" w:cs="Tahoma"/>
          <w:color w:val="1F4E79"/>
          <w:sz w:val="19"/>
          <w:szCs w:val="19"/>
        </w:rPr>
        <w:t xml:space="preserve"> </w:t>
      </w:r>
      <w:r w:rsidRPr="00C71DDC">
        <w:rPr>
          <w:rFonts w:ascii="Tahoma" w:hAnsi="Tahoma" w:cs="Tahoma"/>
          <w:sz w:val="19"/>
          <w:szCs w:val="19"/>
        </w:rPr>
        <w:t xml:space="preserve">adresindeki Yardımcı Programlar Listesinde yer alan öğeleri içerir. Bu öğeleri, yazılıma dâhil olmaları durumunda, yazılımla geliştirdiğiniz uygulamalarınızı dahili olarak dağıtmak ve bunlarda hata ayıklamak amacıyla </w:t>
      </w:r>
      <w:r w:rsidRPr="0008625C">
        <w:rPr>
          <w:rFonts w:ascii="Tahoma" w:hAnsi="Tahoma" w:cs="Tahoma"/>
          <w:sz w:val="19"/>
          <w:szCs w:val="19"/>
        </w:rPr>
        <w:t>cihazlarınıza kopyalayabilir ve yükleyebilirsiniz. Yardımcı Programların geçici kullanım için tasarlandığına, Microsoft'un Yardımcı Programlara yazılımın geri kalanından ayrıca ek veya güncelleştirme yapamayabileceğine ve bazı Yardımcı Programların yapısı gereği yüklü oldukları cihazlara başkalarının da erişmesini sağlayabileceğine lütfen dikkat edin. Sonuç olarak, uygulamalarınızın hata ayıklama veya dahili dağıtılma işlemlerini bitirdikten sonra yüklediğiniz tüm Yardımcı Programları silmeniz gerekir. Microsoft, herhangi bir cihaza yüklediğiniz Yardımcı Programların herhangi bir üçüncü tarafça kullanımından veya erişiminden sorumlu değildir.</w:t>
      </w:r>
    </w:p>
    <w:p w14:paraId="5CE06463" w14:textId="49677251" w:rsidR="00894F25" w:rsidRPr="0008625C" w:rsidRDefault="00894F25" w:rsidP="002342D6">
      <w:pPr>
        <w:pStyle w:val="ListParagraph"/>
        <w:numPr>
          <w:ilvl w:val="0"/>
          <w:numId w:val="12"/>
        </w:numPr>
        <w:spacing w:after="160"/>
        <w:ind w:left="720"/>
        <w:rPr>
          <w:rFonts w:ascii="Tahoma" w:hAnsi="Tahoma" w:cs="Tahoma"/>
          <w:sz w:val="19"/>
          <w:szCs w:val="19"/>
        </w:rPr>
      </w:pPr>
      <w:r w:rsidRPr="0008625C">
        <w:rPr>
          <w:rFonts w:ascii="Tahoma" w:hAnsi="Tahoma" w:cs="Tahoma"/>
          <w:b/>
          <w:sz w:val="19"/>
          <w:szCs w:val="19"/>
        </w:rPr>
        <w:t>Yapı Sunucusu.</w:t>
      </w:r>
      <w:r w:rsidRPr="0008625C">
        <w:rPr>
          <w:rFonts w:ascii="Tahoma" w:hAnsi="Tahoma" w:cs="Tahoma"/>
          <w:sz w:val="19"/>
          <w:szCs w:val="19"/>
        </w:rPr>
        <w:t xml:space="preserve"> Yazılım, </w:t>
      </w:r>
      <w:hyperlink r:id="rId8" w:history="1">
        <w:r w:rsidRPr="0008625C">
          <w:rPr>
            <w:rStyle w:val="Hyperlink"/>
            <w:rFonts w:ascii="Tahoma" w:hAnsi="Tahoma" w:cs="Tahoma"/>
            <w:sz w:val="19"/>
            <w:szCs w:val="19"/>
          </w:rPr>
          <w:t>https://go.microsoft.com/fwlink/?linkid=823097</w:t>
        </w:r>
      </w:hyperlink>
      <w:r w:rsidRPr="0008625C">
        <w:rPr>
          <w:rFonts w:ascii="Tahoma" w:hAnsi="Tahoma" w:cs="Tahoma"/>
          <w:sz w:val="19"/>
          <w:szCs w:val="19"/>
        </w:rPr>
        <w:t xml:space="preserve"> adresindeki Yapı Sunucusu Listesinde yer alan öğeleri içerir. Yapı Sunucusu dosyalarının yazılıma eklenmeleri durumunda, bunları yapı cihazlarınıza kopyalayabilir ve yükleyebilirsiniz. Siz ve kuruluşunuzdaki diğer kişiler, yapı cihazlarınızda bulunan bu dosyaları, yalnızca uygulamalarınızı derlemek, inşa etmek, doğrulamak veya yapı işleminin bir parçası olarak kalite ya da performans testleri gerçekleştirmek için kullanabilirsiniz. </w:t>
      </w:r>
    </w:p>
    <w:p w14:paraId="21576E0C" w14:textId="38018E8A" w:rsidR="007B3889" w:rsidRPr="0008625C" w:rsidRDefault="007B3889" w:rsidP="002342D6">
      <w:pPr>
        <w:pStyle w:val="ListParagraph"/>
        <w:numPr>
          <w:ilvl w:val="0"/>
          <w:numId w:val="12"/>
        </w:numPr>
        <w:spacing w:after="160"/>
        <w:ind w:left="720"/>
        <w:rPr>
          <w:rFonts w:ascii="Tahoma" w:hAnsi="Tahoma" w:cs="Tahoma"/>
          <w:bCs/>
          <w:sz w:val="19"/>
          <w:szCs w:val="19"/>
        </w:rPr>
      </w:pPr>
      <w:r w:rsidRPr="0008625C">
        <w:rPr>
          <w:rFonts w:ascii="Tahoma" w:hAnsi="Tahoma" w:cs="Tahoma"/>
          <w:b/>
          <w:sz w:val="19"/>
          <w:szCs w:val="19"/>
        </w:rPr>
        <w:t>Yazı Tipleri.</w:t>
      </w:r>
      <w:r w:rsidRPr="0008625C">
        <w:rPr>
          <w:rFonts w:ascii="Tahoma" w:hAnsi="Tahoma" w:cs="Tahoma"/>
          <w:sz w:val="19"/>
          <w:szCs w:val="19"/>
        </w:rPr>
        <w:t xml:space="preserve"> Yazılım çalışırken yazı tiplerini içeriği görüntülemek ve yazdırmak için kullanabilirsiniz. Yalnızca şunları yapabilirsiniz: (i) yazı tiplerini, yazı tiplerindeki ekleme sınırlamaları tarafından izin verildiği gibi içeriğe eklemek ve (ii) yazı tiplerini, içeriği yazdırmak için geçici olarak bir yazıcıya veya başka bir çıktı cihazına indirmek.</w:t>
      </w:r>
    </w:p>
    <w:p w14:paraId="32258D5D" w14:textId="6929BD57" w:rsidR="00F77B4C" w:rsidRPr="0008625C" w:rsidRDefault="00667F7B" w:rsidP="002342D6">
      <w:pPr>
        <w:pStyle w:val="ListParagraph"/>
        <w:numPr>
          <w:ilvl w:val="0"/>
          <w:numId w:val="12"/>
        </w:numPr>
        <w:spacing w:after="160"/>
        <w:ind w:left="720"/>
        <w:rPr>
          <w:rFonts w:ascii="Tahoma" w:hAnsi="Tahoma" w:cs="Tahoma"/>
          <w:b/>
          <w:sz w:val="19"/>
          <w:szCs w:val="19"/>
        </w:rPr>
      </w:pPr>
      <w:r w:rsidRPr="0008625C">
        <w:rPr>
          <w:rFonts w:ascii="Tahoma" w:hAnsi="Tahoma" w:cs="Tahoma"/>
          <w:b/>
          <w:sz w:val="19"/>
          <w:szCs w:val="19"/>
        </w:rPr>
        <w:t>Diğer Bileşenlere İlişkin Lisanslar.</w:t>
      </w:r>
    </w:p>
    <w:p w14:paraId="65ACFBCE" w14:textId="20EED916" w:rsidR="0089566E" w:rsidRPr="0008625C" w:rsidRDefault="0089566E" w:rsidP="00441B8C">
      <w:pPr>
        <w:pStyle w:val="Bullet3"/>
        <w:numPr>
          <w:ilvl w:val="0"/>
          <w:numId w:val="33"/>
        </w:numPr>
        <w:spacing w:before="0" w:after="160"/>
        <w:ind w:left="1080"/>
      </w:pPr>
      <w:r w:rsidRPr="0008625C">
        <w:rPr>
          <w:b/>
        </w:rPr>
        <w:t xml:space="preserve">Microsoft Platformları. </w:t>
      </w:r>
      <w:r w:rsidRPr="0008625C">
        <w:t xml:space="preserve">Yazılım, Microsoft Windows; Microsoft Windows Server; Microsoft SQL Server; Microsoft Exchange; Microsoft Office ve Microsoft SharePoint'ten bileşenler içerebilir. Bu bileşenler, yazılımın beraberinde bulunan Microsoft </w:t>
      </w:r>
      <w:r w:rsidR="00441B8C">
        <w:t>“</w:t>
      </w:r>
      <w:r w:rsidRPr="0008625C">
        <w:t>Licenses</w:t>
      </w:r>
      <w:r w:rsidR="00441B8C">
        <w:t>”</w:t>
      </w:r>
      <w:r w:rsidRPr="0008625C">
        <w:t xml:space="preserve"> (Lisanslar) klasöründe açıklandığı gibi, ayrı anlaşmalara ve kendi ürün destek ilkelerine tabidir. Söz konusu bileşenlere ilişkin lisans şartları, ilişkili yükleme dizinine de eklenmişse bu bileşenler söz konusu lisans şartlarına tabi olur. </w:t>
      </w:r>
    </w:p>
    <w:p w14:paraId="6AB693C0" w14:textId="08AB2A77" w:rsidR="000632D9" w:rsidRPr="0008625C" w:rsidRDefault="00667F7B" w:rsidP="002342D6">
      <w:pPr>
        <w:pStyle w:val="ListParagraph"/>
        <w:numPr>
          <w:ilvl w:val="0"/>
          <w:numId w:val="33"/>
        </w:numPr>
        <w:spacing w:after="160"/>
        <w:ind w:left="1080"/>
        <w:rPr>
          <w:rFonts w:ascii="Tahoma" w:hAnsi="Tahoma" w:cs="Tahoma"/>
          <w:color w:val="000000"/>
          <w:sz w:val="19"/>
          <w:szCs w:val="19"/>
        </w:rPr>
      </w:pPr>
      <w:r w:rsidRPr="0008625C">
        <w:rPr>
          <w:rFonts w:ascii="Tahoma" w:hAnsi="Tahoma" w:cs="Tahoma"/>
          <w:b/>
          <w:sz w:val="19"/>
          <w:szCs w:val="19"/>
        </w:rPr>
        <w:lastRenderedPageBreak/>
        <w:t xml:space="preserve">Geliştirici Kaynakları. </w:t>
      </w:r>
      <w:r w:rsidRPr="0008625C">
        <w:rPr>
          <w:rFonts w:ascii="Tahoma" w:hAnsi="Tahoma" w:cs="Tahoma"/>
          <w:sz w:val="19"/>
          <w:szCs w:val="19"/>
        </w:rPr>
        <w:t xml:space="preserve">Yazılımda derleyiciler, diller, çalışma zamanları, ortamlar ve başka kaynaklar bulunur. Bu bileşenler, ayrı anlaşmalar ve kendi ürün destek ilkeleri tarafından yönetiliyor olabilir. Bu diğer bileşenlerin listesi, </w:t>
      </w:r>
      <w:hyperlink r:id="rId9" w:history="1">
        <w:r w:rsidRPr="0008625C">
          <w:rPr>
            <w:rStyle w:val="Hyperlink"/>
            <w:rFonts w:ascii="Tahoma" w:hAnsi="Tahoma" w:cs="Tahoma"/>
            <w:sz w:val="19"/>
            <w:szCs w:val="19"/>
          </w:rPr>
          <w:t>https://support.microsoft.com</w:t>
        </w:r>
      </w:hyperlink>
      <w:r w:rsidRPr="0008625C">
        <w:rPr>
          <w:rFonts w:ascii="Tahoma" w:hAnsi="Tahoma" w:cs="Tahoma"/>
          <w:sz w:val="19"/>
          <w:szCs w:val="19"/>
        </w:rPr>
        <w:t xml:space="preserve"> adresinde bulunur.</w:t>
      </w:r>
    </w:p>
    <w:p w14:paraId="42BC73A8" w14:textId="6004E9A7" w:rsidR="00894F25" w:rsidRPr="0008625C" w:rsidRDefault="00A26A74" w:rsidP="002342D6">
      <w:pPr>
        <w:pStyle w:val="ListParagraph"/>
        <w:numPr>
          <w:ilvl w:val="0"/>
          <w:numId w:val="33"/>
        </w:numPr>
        <w:spacing w:after="160"/>
        <w:ind w:left="1080"/>
        <w:rPr>
          <w:rFonts w:ascii="Tahoma" w:hAnsi="Tahoma" w:cs="Tahoma"/>
          <w:color w:val="000000"/>
          <w:sz w:val="19"/>
          <w:szCs w:val="19"/>
        </w:rPr>
      </w:pPr>
      <w:r w:rsidRPr="0008625C">
        <w:rPr>
          <w:rFonts w:ascii="Tahoma" w:hAnsi="Tahoma" w:cs="Tahoma"/>
          <w:b/>
          <w:bCs/>
          <w:sz w:val="19"/>
          <w:szCs w:val="19"/>
        </w:rPr>
        <w:t xml:space="preserve">Üçüncü Taraf Bileşenleri. </w:t>
      </w:r>
      <w:r w:rsidRPr="0008625C">
        <w:rPr>
          <w:rFonts w:ascii="Tahoma" w:hAnsi="Tahoma" w:cs="Tahoma"/>
          <w:sz w:val="19"/>
          <w:szCs w:val="19"/>
        </w:rPr>
        <w:t>Yazılım, beraberinde bulunan ThirdPartyNotices dosyalarında açıklanmış olabileceği gibi, ayrı yasal bildirimlere sahip veya başka anlaşmalarca yönetilen üçüncü taraf bileşenleri içerebilir. Bu gibi bileşenlerin başka anlaşmalarca yönetilmesi durumunda bile aşağıdaki bildirimler ve tazminata ilişkin sınırlamalar geçerlidir.</w:t>
      </w:r>
    </w:p>
    <w:p w14:paraId="38DB1AA5" w14:textId="3107B87F" w:rsidR="002B3B99" w:rsidRPr="0008625C" w:rsidRDefault="000475AB" w:rsidP="002342D6">
      <w:pPr>
        <w:pStyle w:val="ListParagraph"/>
        <w:spacing w:after="160"/>
        <w:ind w:left="1080"/>
        <w:rPr>
          <w:rFonts w:ascii="Tahoma" w:hAnsi="Tahoma" w:cs="Tahoma"/>
          <w:sz w:val="19"/>
          <w:szCs w:val="19"/>
        </w:rPr>
      </w:pPr>
      <w:r w:rsidRPr="0008625C">
        <w:rPr>
          <w:rFonts w:ascii="Tahoma" w:hAnsi="Tahoma" w:cs="Tahoma"/>
          <w:sz w:val="19"/>
          <w:szCs w:val="19"/>
        </w:rPr>
        <w:t xml:space="preserve">Yazılım, kaynak kodu kullanılabilirliği yükümlülükleriyle açık kaynak lisansları kapsamında lisanslanan bileşenleri de içerebilir. Söz konusu lisansların kopyaları, varsa, ThirdPartyNotices dosyalarında yer alır. İlgili açık kaynak lisansları kapsamında gerekmesi durumunda bu kaynak kodunu, ThirdPartyNotices dosyalarında ifade edildiği gibi bizden temin edebilirsiniz. Aynı zamanda, kaynak kodun bir kopyasını </w:t>
      </w:r>
      <w:hyperlink r:id="rId10" w:history="1">
        <w:r w:rsidRPr="0008625C">
          <w:rPr>
            <w:rStyle w:val="Hyperlink"/>
            <w:rFonts w:ascii="Tahoma" w:hAnsi="Tahoma" w:cs="Tahoma"/>
            <w:sz w:val="19"/>
            <w:szCs w:val="19"/>
          </w:rPr>
          <w:t>https://thirdpartysource.microsoft.com/</w:t>
        </w:r>
      </w:hyperlink>
      <w:r w:rsidRPr="0008625C">
        <w:rPr>
          <w:rFonts w:ascii="Tahoma" w:eastAsia="MS Mincho" w:hAnsi="Tahoma" w:cs="Tahoma"/>
          <w:sz w:val="19"/>
          <w:szCs w:val="19"/>
        </w:rPr>
        <w:t xml:space="preserve"> adresinde de bulabilirsiniz.</w:t>
      </w:r>
    </w:p>
    <w:p w14:paraId="4899FBD1" w14:textId="4BD443AD" w:rsidR="00AA0100" w:rsidRPr="0008625C" w:rsidRDefault="0084687F" w:rsidP="002342D6">
      <w:pPr>
        <w:pStyle w:val="ListParagraph"/>
        <w:numPr>
          <w:ilvl w:val="0"/>
          <w:numId w:val="12"/>
        </w:numPr>
        <w:spacing w:after="160"/>
        <w:ind w:left="720"/>
        <w:rPr>
          <w:rFonts w:ascii="Tahoma" w:hAnsi="Tahoma" w:cs="Tahoma"/>
          <w:sz w:val="19"/>
          <w:szCs w:val="19"/>
        </w:rPr>
      </w:pPr>
      <w:r w:rsidRPr="0008625C">
        <w:rPr>
          <w:rFonts w:ascii="Tahoma" w:hAnsi="Tahoma" w:cs="Tahoma"/>
          <w:b/>
          <w:bCs/>
          <w:sz w:val="19"/>
          <w:szCs w:val="19"/>
        </w:rPr>
        <w:t>Paket Yöneticileri.</w:t>
      </w:r>
      <w:r w:rsidRPr="0008625C">
        <w:rPr>
          <w:rFonts w:ascii="Tahoma" w:hAnsi="Tahoma" w:cs="Tahoma"/>
          <w:bCs/>
          <w:sz w:val="19"/>
          <w:szCs w:val="19"/>
        </w:rPr>
        <w:t xml:space="preserve"> </w:t>
      </w:r>
      <w:r w:rsidRPr="0008625C">
        <w:rPr>
          <w:rFonts w:ascii="Tahoma" w:hAnsi="Tahoma" w:cs="Tahoma"/>
          <w:sz w:val="19"/>
          <w:szCs w:val="19"/>
        </w:rPr>
        <w:t>Yazılım, uygulamalarınızla birlikte kullanmak üzere size, Microsoft ve üçüncü taraf yazılım paketlerini indirme seçeneği sağlayan NuGet gibi paket yöneticileri içerir. Bu paketler bu anlaşmaya değil, kendi lisanslarına tabidir. Microsoft herhangi bir üçüncü taraf paketini dağıtmaz, lisanslamaz veya bunlar için garanti vermez.</w:t>
      </w:r>
    </w:p>
    <w:p w14:paraId="565E4C87" w14:textId="7602DB69" w:rsidR="003B5050" w:rsidRPr="0008625C" w:rsidRDefault="00563EFB" w:rsidP="002342D6">
      <w:pPr>
        <w:pStyle w:val="Heading1"/>
        <w:tabs>
          <w:tab w:val="clear" w:pos="450"/>
          <w:tab w:val="num" w:pos="360"/>
        </w:tabs>
        <w:spacing w:before="0" w:after="160"/>
        <w:ind w:left="360" w:hanging="360"/>
        <w:rPr>
          <w:b w:val="0"/>
        </w:rPr>
      </w:pPr>
      <w:r w:rsidRPr="0008625C">
        <w:t xml:space="preserve">VERİLER. </w:t>
      </w:r>
      <w:r w:rsidRPr="0008625C">
        <w:rPr>
          <w:b w:val="0"/>
        </w:rPr>
        <w:t>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 Veri toplama ve yardım belgelerinde kullanım ve Microsoft’un gizlilik bildirimi hakkında daha fazla bilgiyi</w:t>
      </w:r>
      <w:r w:rsidR="00E54C77">
        <w:rPr>
          <w:b w:val="0"/>
        </w:rPr>
        <w:t xml:space="preserve"> </w:t>
      </w:r>
      <w:hyperlink r:id="rId11" w:history="1">
        <w:r w:rsidRPr="0008625C">
          <w:rPr>
            <w:rStyle w:val="Hyperlink"/>
            <w:rFonts w:cs="Tahoma"/>
            <w:b w:val="0"/>
          </w:rPr>
          <w:t>https://go.microsoft.com/fwlink/?LinkID=824704</w:t>
        </w:r>
      </w:hyperlink>
      <w:r w:rsidRPr="0008625C">
        <w:rPr>
          <w:b w:val="0"/>
        </w:rPr>
        <w:t xml:space="preserve"> adresinde bulabilirsiniz. Yazılımı kullanmanız, bu uygulamalara verdiğiniz onay yerine geçer.</w:t>
      </w:r>
    </w:p>
    <w:p w14:paraId="7AAABB72" w14:textId="36C8A8A7" w:rsidR="00561C14" w:rsidRPr="0008625C" w:rsidRDefault="00561C14" w:rsidP="002342D6">
      <w:pPr>
        <w:pStyle w:val="Heading1"/>
        <w:tabs>
          <w:tab w:val="clear" w:pos="450"/>
          <w:tab w:val="num" w:pos="360"/>
        </w:tabs>
        <w:spacing w:before="0" w:after="160"/>
        <w:ind w:left="360" w:hanging="360"/>
        <w:rPr>
          <w:b w:val="0"/>
        </w:rPr>
      </w:pPr>
      <w:r w:rsidRPr="0008625C">
        <w:t xml:space="preserve">ZAMANA DUYARLI YAZILIM. </w:t>
      </w:r>
      <w:r w:rsidRPr="0008625C">
        <w:rPr>
          <w:b w:val="0"/>
        </w:rPr>
        <w:t>Yazılım, zamana duyarlıdır ve yazılımda tanımlı bir tarihte çalışmayı durduracak olup yazılımı kullanma lisans hakkınız da sona erecektir. Yazılım çalışmayı durdurduğunda, yazılımda depolanan kodunuzun kopyalarına veya diğer verilere erişemeyebilirsiniz.</w:t>
      </w:r>
    </w:p>
    <w:p w14:paraId="02E5ED8B" w14:textId="2718495C" w:rsidR="00561C14" w:rsidRPr="0008625C" w:rsidRDefault="00561C14" w:rsidP="002342D6">
      <w:pPr>
        <w:pStyle w:val="Heading1"/>
        <w:tabs>
          <w:tab w:val="clear" w:pos="450"/>
          <w:tab w:val="num" w:pos="360"/>
        </w:tabs>
        <w:spacing w:before="0" w:after="160"/>
        <w:ind w:left="360" w:hanging="360"/>
        <w:rPr>
          <w:b w:val="0"/>
        </w:rPr>
      </w:pPr>
      <w:r w:rsidRPr="0008625C">
        <w:t xml:space="preserve">ÖN SÜRÜM YAZILIM. </w:t>
      </w:r>
      <w:r w:rsidRPr="0008625C">
        <w:rPr>
          <w:b w:val="0"/>
        </w:rPr>
        <w:t>Bu yazılım bir yayın öncesi sürümdür. Doğru biçimde veya son sürümünün çalıştığı gibi çalışmayabilir. Microsoft son, ticari sürümde değişiklikler yapabilir. Microsoft, yazılım ile ilgili tarafınıza bakım hizmeti, teknik destek veya güncellemeler sağlamakla yükümlü değildir.</w:t>
      </w:r>
    </w:p>
    <w:p w14:paraId="49D69AFA" w14:textId="77777777" w:rsidR="00661CED" w:rsidRPr="0008625C" w:rsidRDefault="00561C14" w:rsidP="002342D6">
      <w:pPr>
        <w:pStyle w:val="Heading1"/>
        <w:tabs>
          <w:tab w:val="clear" w:pos="450"/>
          <w:tab w:val="num" w:pos="360"/>
        </w:tabs>
        <w:spacing w:before="0" w:after="160"/>
        <w:ind w:left="360" w:hanging="360"/>
        <w:rPr>
          <w:b w:val="0"/>
        </w:rPr>
      </w:pPr>
      <w:r w:rsidRPr="0008625C">
        <w:t xml:space="preserve">GERİ BİLDİRİM. </w:t>
      </w:r>
      <w:r w:rsidRPr="0008625C">
        <w:rPr>
          <w:b w:val="0"/>
        </w:rPr>
        <w:t>Yazılım hakkında Microsoft'a geri bildirimde bulunursanız, Microsoft'a, ücretsiz olarak, verdiğiniz geri bildirimi herhangi bir yolla ve herhangi bir amaçla kullanma, paylaşma ve ticari olarak kullanma hakkını tanımış olursunuz. Geri bildiriminizi bunlara dâhil ettiğimiz için Microsoft'un yazılımını veya belgelerini üçüncü kişilere lisanslamasını gerektirecek şekilde lisansa tabi bir geri bildirim veremezsiniz. Bu haklar bu anlaşmanın bitiminden sonra da geçerlidir.</w:t>
      </w:r>
    </w:p>
    <w:p w14:paraId="44F6C521" w14:textId="65F29F44" w:rsidR="00561C14" w:rsidRPr="0008625C" w:rsidRDefault="00561C14" w:rsidP="002342D6">
      <w:pPr>
        <w:pStyle w:val="Heading1"/>
        <w:tabs>
          <w:tab w:val="clear" w:pos="450"/>
          <w:tab w:val="num" w:pos="360"/>
        </w:tabs>
        <w:spacing w:before="0" w:after="160"/>
        <w:ind w:left="360" w:hanging="360"/>
        <w:rPr>
          <w:b w:val="0"/>
        </w:rPr>
      </w:pPr>
      <w:r w:rsidRPr="0008625C">
        <w:t xml:space="preserve">LİSANS KAPSAMI. </w:t>
      </w:r>
      <w:r w:rsidRPr="0008625C">
        <w:rPr>
          <w:b w:val="0"/>
        </w:rPr>
        <w:t>Yazılımın satışı yapılmamakta, lisansı verilmektedir. Bu anlaşma yalnızca yazılımı kullanımınızla ilgili bazı haklar vermektedir. Microsoft diğer hakların tümünü saklı tutar.</w:t>
      </w:r>
      <w:r w:rsidRPr="0008625C">
        <w:t xml:space="preserve"> </w:t>
      </w:r>
      <w:r w:rsidRPr="0008625C">
        <w:rPr>
          <w:b w:val="0"/>
        </w:rPr>
        <w:t>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14:paraId="49F5508A" w14:textId="77777777" w:rsidR="00D015E8" w:rsidRPr="0008625C" w:rsidRDefault="00D015E8" w:rsidP="002342D6">
      <w:pPr>
        <w:pStyle w:val="Bullet4"/>
        <w:tabs>
          <w:tab w:val="clear" w:pos="1437"/>
          <w:tab w:val="num" w:pos="720"/>
        </w:tabs>
        <w:spacing w:before="0" w:after="160"/>
        <w:ind w:left="720" w:hanging="360"/>
      </w:pPr>
      <w:r w:rsidRPr="0008625C">
        <w:t>yazılımın teknik sınırlamalarını aşacak çözümler üretmek,</w:t>
      </w:r>
    </w:p>
    <w:p w14:paraId="631F97E5" w14:textId="790EBEBC" w:rsidR="00D015E8" w:rsidRPr="0008625C" w:rsidRDefault="00D015E8" w:rsidP="002342D6">
      <w:pPr>
        <w:pStyle w:val="Bullet4"/>
        <w:tabs>
          <w:tab w:val="clear" w:pos="1437"/>
          <w:tab w:val="num" w:pos="720"/>
        </w:tabs>
        <w:spacing w:before="0" w:after="160"/>
        <w:ind w:left="720" w:hanging="360"/>
        <w:rPr>
          <w:rFonts w:eastAsia="SimSun"/>
        </w:rPr>
      </w:pPr>
      <w:r w:rsidRPr="0008625C">
        <w:rPr>
          <w:rFonts w:eastAsia="SimSun"/>
        </w:rPr>
        <w:t xml:space="preserve">yazılıma dâhil edilmiş olabilecek belirli açık kaynaklı bileşenlerin kullanımının tabi olduğu üçüncü kişi lisans verme şartlarının, yalnızca gerekli gördüğü durumlar ve izin verdiği ölçü dışında, yazılımı tersine mühendislik işlemine tabi tutmak, kaynak koda dönüştürmek veya assembler diline çevirmek </w:t>
      </w:r>
      <w:r w:rsidRPr="0008625C">
        <w:t>ya da yazılımın kaynak kodunu başka bir şekilde türetme girişiminde bulunmak</w:t>
      </w:r>
      <w:r w:rsidRPr="0008625C">
        <w:rPr>
          <w:rFonts w:eastAsia="SimSun"/>
        </w:rPr>
        <w:t>;</w:t>
      </w:r>
    </w:p>
    <w:p w14:paraId="4E131D42" w14:textId="77777777" w:rsidR="00D015E8" w:rsidRPr="0008625C" w:rsidRDefault="00D015E8" w:rsidP="002342D6">
      <w:pPr>
        <w:pStyle w:val="Bullet4"/>
        <w:tabs>
          <w:tab w:val="clear" w:pos="1437"/>
          <w:tab w:val="num" w:pos="720"/>
        </w:tabs>
        <w:spacing w:before="0" w:after="160"/>
        <w:ind w:left="720" w:hanging="360"/>
      </w:pPr>
      <w:r w:rsidRPr="0008625C">
        <w:t>Microsoft veya tedarikçilerinin yazılımdaki herhangi bir bildirimini kaldırmak, küçültmek, engellemek veya değiştirmek;</w:t>
      </w:r>
    </w:p>
    <w:p w14:paraId="4E564A7D" w14:textId="77777777" w:rsidR="00D015E8" w:rsidRPr="0008625C" w:rsidRDefault="00D015E8" w:rsidP="002342D6">
      <w:pPr>
        <w:pStyle w:val="Bullet4"/>
        <w:tabs>
          <w:tab w:val="clear" w:pos="1437"/>
          <w:tab w:val="num" w:pos="720"/>
        </w:tabs>
        <w:spacing w:before="0" w:after="160"/>
        <w:ind w:left="720" w:hanging="360"/>
      </w:pPr>
      <w:r w:rsidRPr="0008625C">
        <w:t>yazılımı kanuna aykırı bir şekilde kullanmak veya</w:t>
      </w:r>
    </w:p>
    <w:p w14:paraId="6AAB6F68" w14:textId="61E3A121" w:rsidR="00AD48A4" w:rsidRPr="0008625C" w:rsidRDefault="00141F26" w:rsidP="002342D6">
      <w:pPr>
        <w:pStyle w:val="Bullet4"/>
        <w:tabs>
          <w:tab w:val="clear" w:pos="1437"/>
          <w:tab w:val="num" w:pos="720"/>
        </w:tabs>
        <w:spacing w:before="0" w:after="160"/>
        <w:ind w:left="720" w:hanging="360"/>
      </w:pPr>
      <w:r w:rsidRPr="0008625C">
        <w:lastRenderedPageBreak/>
        <w:t>yazılımı paylaşmak, yayımlamak, kiralamak ya da finansal kiralama yoluyla satmak veya yazılımı başkalarının kullanımı için bağımsız teklif olarak sağlamak ya da yazılımı veya bu anlaşmayı herhangi bir üçüncü tarafa devretmek.</w:t>
      </w:r>
      <w:r w:rsidR="00E54C77">
        <w:t xml:space="preserve"> </w:t>
      </w:r>
    </w:p>
    <w:p w14:paraId="4DDDCEE8" w14:textId="10938FC4" w:rsidR="00561C14" w:rsidRPr="007341FA" w:rsidRDefault="00561C14" w:rsidP="002342D6">
      <w:pPr>
        <w:pStyle w:val="Heading1"/>
        <w:tabs>
          <w:tab w:val="clear" w:pos="450"/>
          <w:tab w:val="num" w:pos="360"/>
        </w:tabs>
        <w:spacing w:before="0" w:after="160"/>
        <w:ind w:left="360" w:hanging="360"/>
      </w:pPr>
      <w:r w:rsidRPr="0008625C">
        <w:t xml:space="preserve">İHRACAT SINIRLAMALARI. </w:t>
      </w:r>
      <w:r w:rsidRPr="0008625C">
        <w:rPr>
          <w:b w:val="0"/>
        </w:rPr>
        <w:t>Hedef yer, son kullanıcı ve son kullanım sınırlamalarını da içeren, yazılım konusunda geçerli olan tüm yurt içi ve uluslararası ihracat yasalarına ve yönetmeliklerine uygun şekilde davranmanız gerekir. İhracat kısıtlamalarıyla ilgili daha fazla bilgi için,</w:t>
      </w:r>
      <w:r w:rsidRPr="00D01378">
        <w:rPr>
          <w:b w:val="0"/>
        </w:rPr>
        <w:t xml:space="preserve"> </w:t>
      </w:r>
      <w:hyperlink r:id="rId12" w:history="1">
        <w:r w:rsidRPr="0008625C">
          <w:rPr>
            <w:rStyle w:val="Hyperlink"/>
            <w:rFonts w:eastAsia="SimSun" w:cs="Tahoma"/>
            <w:b w:val="0"/>
          </w:rPr>
          <w:t>www.microsoft.com/exporting</w:t>
        </w:r>
      </w:hyperlink>
      <w:r w:rsidRPr="00083CC5">
        <w:rPr>
          <w:b w:val="0"/>
        </w:rPr>
        <w:t xml:space="preserve"> </w:t>
      </w:r>
      <w:r w:rsidRPr="007341FA">
        <w:rPr>
          <w:b w:val="0"/>
        </w:rPr>
        <w:t>adresini ziyaret edin.</w:t>
      </w:r>
    </w:p>
    <w:p w14:paraId="51578A39" w14:textId="075756AF" w:rsidR="00561C14" w:rsidRPr="0008625C" w:rsidRDefault="00561C14" w:rsidP="00441B8C">
      <w:pPr>
        <w:pStyle w:val="Heading1"/>
        <w:tabs>
          <w:tab w:val="clear" w:pos="450"/>
          <w:tab w:val="num" w:pos="360"/>
        </w:tabs>
        <w:spacing w:before="0" w:after="160"/>
        <w:ind w:left="360" w:hanging="360"/>
        <w:rPr>
          <w:b w:val="0"/>
        </w:rPr>
      </w:pPr>
      <w:r w:rsidRPr="0008625C">
        <w:t xml:space="preserve">DESTEK. </w:t>
      </w:r>
      <w:r w:rsidRPr="0008625C">
        <w:rPr>
          <w:b w:val="0"/>
        </w:rPr>
        <w:t xml:space="preserve">Bu yazılım </w:t>
      </w:r>
      <w:r w:rsidR="00441B8C">
        <w:rPr>
          <w:b w:val="0"/>
        </w:rPr>
        <w:t>“</w:t>
      </w:r>
      <w:r w:rsidRPr="0008625C">
        <w:rPr>
          <w:b w:val="0"/>
        </w:rPr>
        <w:t>olduğu gibi</w:t>
      </w:r>
      <w:r w:rsidR="00441B8C">
        <w:rPr>
          <w:b w:val="0"/>
        </w:rPr>
        <w:t>”</w:t>
      </w:r>
      <w:r w:rsidRPr="0008625C">
        <w:rPr>
          <w:b w:val="0"/>
        </w:rPr>
        <w:t xml:space="preserve"> sağlandığından, yazılım için destek hizmeti veremeyebiliriz.</w:t>
      </w:r>
    </w:p>
    <w:p w14:paraId="265E94C9" w14:textId="77777777" w:rsidR="00561C14" w:rsidRPr="0008625C" w:rsidRDefault="00561C14" w:rsidP="002342D6">
      <w:pPr>
        <w:pStyle w:val="Heading1"/>
        <w:tabs>
          <w:tab w:val="clear" w:pos="450"/>
          <w:tab w:val="num" w:pos="360"/>
        </w:tabs>
        <w:spacing w:before="0" w:after="160"/>
        <w:ind w:left="360" w:hanging="360"/>
        <w:rPr>
          <w:b w:val="0"/>
        </w:rPr>
      </w:pPr>
      <w:r w:rsidRPr="0008625C">
        <w:t xml:space="preserve">ANLAŞMANIN TAMAMI. </w:t>
      </w:r>
      <w:r w:rsidRPr="0008625C">
        <w:rPr>
          <w:b w:val="0"/>
        </w:rPr>
        <w:t>Bu anlaşma ve eklerin, güncelleştirmelerin, internet tabanlı hizmetlerin ve kullandığınız destek hizmetlerinin şartları, yazılım ve destek hizmetlerine yönelik anlaşmanın tamamını oluşturur.</w:t>
      </w:r>
    </w:p>
    <w:p w14:paraId="157EA1F6" w14:textId="1EAC0F8F" w:rsidR="00561C14" w:rsidRPr="0008625C" w:rsidRDefault="00561C14" w:rsidP="002342D6">
      <w:pPr>
        <w:pStyle w:val="Heading1"/>
        <w:tabs>
          <w:tab w:val="clear" w:pos="450"/>
          <w:tab w:val="num" w:pos="360"/>
        </w:tabs>
        <w:spacing w:before="0" w:after="160"/>
        <w:ind w:left="360" w:hanging="360"/>
        <w:rPr>
          <w:rFonts w:eastAsia="SimSun"/>
          <w:b w:val="0"/>
        </w:rPr>
      </w:pPr>
      <w:r w:rsidRPr="0008625C">
        <w:rPr>
          <w:rFonts w:eastAsia="SimSun"/>
        </w:rPr>
        <w:t>İLGİLİ YASALAR.</w:t>
      </w:r>
      <w:r w:rsidR="00E54C77">
        <w:rPr>
          <w:rFonts w:eastAsia="SimSun"/>
        </w:rPr>
        <w:t xml:space="preserve"> </w:t>
      </w:r>
      <w:r w:rsidRPr="0008625C">
        <w:rPr>
          <w:b w:val="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14:paraId="36182406" w14:textId="77777777" w:rsidR="00141F26" w:rsidRPr="00D73A6E" w:rsidRDefault="00141F26" w:rsidP="002342D6">
      <w:pPr>
        <w:pStyle w:val="Heading1"/>
        <w:tabs>
          <w:tab w:val="clear" w:pos="450"/>
          <w:tab w:val="num" w:pos="360"/>
        </w:tabs>
        <w:spacing w:before="0" w:after="160"/>
        <w:ind w:left="360" w:hanging="360"/>
        <w:rPr>
          <w:b w:val="0"/>
          <w:spacing w:val="-1"/>
        </w:rPr>
      </w:pPr>
      <w:r w:rsidRPr="00D73A6E">
        <w:rPr>
          <w:spacing w:val="-1"/>
        </w:rPr>
        <w:t xml:space="preserve">TÜKETİCİ HAKLARI, BÖLGESEL DEĞİŞİMLER. </w:t>
      </w:r>
      <w:r w:rsidRPr="00D73A6E">
        <w:rPr>
          <w:b w:val="0"/>
          <w:spacing w:val="-1"/>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572AC2DC" w14:textId="77777777" w:rsidR="00141F26" w:rsidRPr="0008625C" w:rsidRDefault="00141F26" w:rsidP="002342D6">
      <w:pPr>
        <w:pStyle w:val="Heading2"/>
        <w:numPr>
          <w:ilvl w:val="0"/>
          <w:numId w:val="32"/>
        </w:numPr>
        <w:spacing w:before="0" w:after="160"/>
        <w:rPr>
          <w:b w:val="0"/>
        </w:rPr>
      </w:pPr>
      <w:r w:rsidRPr="0008625C">
        <w:t xml:space="preserve">Avustralya. </w:t>
      </w:r>
      <w:r w:rsidRPr="0008625C">
        <w:rPr>
          <w:b w:val="0"/>
        </w:rPr>
        <w:t>Avustralya Tüketici Yasası kapsamında kanuni garantileriniz bulunmaktadır ve bu anlaşmadaki hiçbir şey, bu hakları etkilemeyi amaçlamaz.</w:t>
      </w:r>
    </w:p>
    <w:p w14:paraId="1E82531B" w14:textId="77777777" w:rsidR="00141F26" w:rsidRPr="0008625C" w:rsidRDefault="00141F26" w:rsidP="002342D6">
      <w:pPr>
        <w:pStyle w:val="Heading2"/>
        <w:numPr>
          <w:ilvl w:val="0"/>
          <w:numId w:val="32"/>
        </w:numPr>
        <w:spacing w:before="0" w:after="160"/>
        <w:rPr>
          <w:b w:val="0"/>
        </w:rPr>
      </w:pPr>
      <w:r w:rsidRPr="0008625C">
        <w:t xml:space="preserve">Kanada. </w:t>
      </w:r>
      <w:r w:rsidRPr="0008625C">
        <w:rPr>
          <w:b w:val="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14:paraId="08BAFCD7" w14:textId="77777777" w:rsidR="00141F26" w:rsidRPr="0008625C" w:rsidRDefault="00141F26" w:rsidP="002342D6">
      <w:pPr>
        <w:pStyle w:val="Heading2"/>
        <w:numPr>
          <w:ilvl w:val="0"/>
          <w:numId w:val="32"/>
        </w:numPr>
        <w:spacing w:before="0" w:after="160"/>
      </w:pPr>
      <w:r w:rsidRPr="0008625C">
        <w:t>Almanya ve Avusturya.</w:t>
      </w:r>
    </w:p>
    <w:p w14:paraId="08828945" w14:textId="77777777" w:rsidR="00141F26" w:rsidRPr="0008625C" w:rsidRDefault="00141F26" w:rsidP="002342D6">
      <w:pPr>
        <w:spacing w:before="0" w:after="160"/>
        <w:ind w:left="1080" w:hanging="363"/>
      </w:pPr>
      <w:r w:rsidRPr="0008625C">
        <w:rPr>
          <w:b/>
        </w:rPr>
        <w:t>(i)</w:t>
      </w:r>
      <w:r w:rsidRPr="0008625C">
        <w:tab/>
      </w:r>
      <w:r w:rsidRPr="0008625C">
        <w:rPr>
          <w:b/>
        </w:rPr>
        <w:t>Garanti</w:t>
      </w:r>
      <w:r w:rsidRPr="00837618">
        <w:rPr>
          <w:b/>
          <w:bCs/>
        </w:rPr>
        <w:t>.</w:t>
      </w:r>
      <w:r w:rsidRPr="0008625C">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14:paraId="12D8C248" w14:textId="77777777" w:rsidR="00141F26" w:rsidRPr="0008625C" w:rsidRDefault="00141F26" w:rsidP="002342D6">
      <w:pPr>
        <w:spacing w:before="0" w:after="160"/>
        <w:ind w:left="1080" w:hanging="363"/>
      </w:pPr>
      <w:r w:rsidRPr="0008625C">
        <w:rPr>
          <w:b/>
        </w:rPr>
        <w:t>(ii)</w:t>
      </w:r>
      <w:r w:rsidRPr="0008625C">
        <w:tab/>
      </w:r>
      <w:r w:rsidRPr="0008625C">
        <w:rPr>
          <w:b/>
        </w:rPr>
        <w:t>Sorumluluğun Sınırlandırılması</w:t>
      </w:r>
      <w:r w:rsidRPr="00837618">
        <w:rPr>
          <w:b/>
          <w:bCs/>
        </w:rPr>
        <w:t xml:space="preserve">. </w:t>
      </w:r>
      <w:r w:rsidRPr="0008625C">
        <w:t>Kasıtlı davranışın, ağır ihmalin, Ürün Sorumluluğu Kanununa dayalı iddiaların yanı sıra, can kaybı veya kişisel veya fiziksel yaralanma durumunda Microsoft, kanun uyarınca olarak sorumlu olur.</w:t>
      </w:r>
    </w:p>
    <w:p w14:paraId="20A21010" w14:textId="0D72F063" w:rsidR="00141F26" w:rsidRPr="0008625C" w:rsidRDefault="00141F26" w:rsidP="00441B8C">
      <w:pPr>
        <w:pStyle w:val="Heading1"/>
        <w:numPr>
          <w:ilvl w:val="0"/>
          <w:numId w:val="0"/>
        </w:numPr>
        <w:spacing w:before="0" w:after="160"/>
        <w:ind w:left="717"/>
        <w:rPr>
          <w:b w:val="0"/>
        </w:rPr>
      </w:pPr>
      <w:r w:rsidRPr="0008625C">
        <w:rPr>
          <w:b w:val="0"/>
        </w:rPr>
        <w:t xml:space="preserve">Yukarıda anılan (ii) maddesine tabi olmak üzere Microsoft'un, sözleşme yükümlülüklerini ciddi biçimde ihlal etmesi, bu yükümlülüklerin yerine getirilmesinin anlaşmanın tam ifasına olanak sağlayacak, ihlalinin bu anlaşmanın amacını tehlikeye düşürecek ve bunlara uygunluğa bir tarafın sürekli güvenmesini sağlayacak nitelikte (kısaca </w:t>
      </w:r>
      <w:r w:rsidR="00441B8C">
        <w:rPr>
          <w:b w:val="0"/>
        </w:rPr>
        <w:t>“</w:t>
      </w:r>
      <w:r w:rsidRPr="0008625C">
        <w:rPr>
          <w:b w:val="0"/>
        </w:rPr>
        <w:t>temel yükümlülükler</w:t>
      </w:r>
      <w:r w:rsidR="00441B8C">
        <w:rPr>
          <w:b w:val="0"/>
        </w:rPr>
        <w:t>”</w:t>
      </w:r>
      <w:r w:rsidRPr="0008625C">
        <w:rPr>
          <w:b w:val="0"/>
        </w:rPr>
        <w:t>) olması durumunda Microsoft, yalnızca hafif ihmal için sorumlu olacaktır. Diğer hafif ihmal hallerinde, Microsoft'un hafif ihmaller ile ilgili yükümlülüğü bulunmayacaktır.</w:t>
      </w:r>
    </w:p>
    <w:p w14:paraId="625B6D6C" w14:textId="4F700C2C" w:rsidR="00561C14" w:rsidRPr="0008625C" w:rsidRDefault="00561C14" w:rsidP="00441B8C">
      <w:pPr>
        <w:pStyle w:val="Heading1"/>
        <w:tabs>
          <w:tab w:val="clear" w:pos="450"/>
          <w:tab w:val="num" w:pos="360"/>
        </w:tabs>
        <w:spacing w:before="0" w:after="160"/>
        <w:ind w:left="360" w:hanging="360"/>
      </w:pPr>
      <w:r w:rsidRPr="0008625C">
        <w:t xml:space="preserve">GARANTİ REDDİ BEYANI. YAZILIMIN LİSANSI </w:t>
      </w:r>
      <w:r w:rsidR="00441B8C">
        <w:t>“</w:t>
      </w:r>
      <w:r w:rsidRPr="0008625C">
        <w:t>OLDUĞU GİBİ</w:t>
      </w:r>
      <w:r w:rsidR="00441B8C">
        <w:t>”</w:t>
      </w:r>
      <w:r w:rsidRPr="0008625C">
        <w:t xml:space="preserve"> VERİLMEKTEDİR. YAZILIMIN KULLANIMINA İLİŞKİN RİSKLER TARAFINIZDAN ÜSTLENİLİR. MİCROSOFT TARAFINDAN HİÇBİR AÇIK GARANTİ VERİLMEMEKTE VEYA KOŞUL SUNULMAMAKTADIR. MICROSOFT, BÖLGENİZDEKİ YASALAR ÇERÇEVESİNDE İZİN VERİLEN ÖLÇÜDE, TİCARİ OLARAK SATILABİLME, BELİRLİ BİR AMACA UYGUNLUK VE İHLAL BULUNMAMASI İLE İLGİLİ ZIMNİ GARANTİLERİ KAPSAM DIŞINDA BIRAKIR.</w:t>
      </w:r>
    </w:p>
    <w:p w14:paraId="6881C3DD" w14:textId="45B83040" w:rsidR="00561C14" w:rsidRPr="0008625C" w:rsidRDefault="00561C14" w:rsidP="002342D6">
      <w:pPr>
        <w:pStyle w:val="Heading1"/>
        <w:tabs>
          <w:tab w:val="clear" w:pos="450"/>
          <w:tab w:val="num" w:pos="360"/>
        </w:tabs>
        <w:spacing w:before="0" w:after="160"/>
        <w:ind w:left="360" w:hanging="360"/>
      </w:pPr>
      <w:r w:rsidRPr="0008625C">
        <w:rPr>
          <w:rFonts w:eastAsia="SimSun"/>
        </w:rPr>
        <w:lastRenderedPageBreak/>
        <w:t>ZARARLARIN SINIRLANDIRILMASI</w:t>
      </w:r>
      <w:r w:rsidRPr="0008625C">
        <w:t>. MİCROSOFT VE TEDARİKÇİLERİNDEN, 5,00 ABD DOLARI'NA KADAR DOĞRUDAN ZARARLARI GERİ ALABİLİRSİNİZ. NETİCEDE OLUŞAN, KAR KAYBI, ÖZEL, DOLAYLI VEYA MÜSBET ZARARLARLA BAĞLANTILI ZARARLAR DAHİL DİĞER ZARARLARI TELAFİ EDEMEZSİNİZ.</w:t>
      </w:r>
    </w:p>
    <w:p w14:paraId="5543EA3F" w14:textId="6AE0ECF8" w:rsidR="00561C14" w:rsidRPr="0008625C" w:rsidRDefault="00561C14" w:rsidP="002342D6">
      <w:pPr>
        <w:pStyle w:val="Body1"/>
        <w:spacing w:before="0" w:after="160"/>
        <w:ind w:left="360"/>
      </w:pPr>
      <w:r w:rsidRPr="0008625C">
        <w:t>Bu sınırlama (a) 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14:paraId="297E617C" w14:textId="77777777" w:rsidR="00561C14" w:rsidRPr="0008625C" w:rsidRDefault="00561C14" w:rsidP="002342D6">
      <w:pPr>
        <w:spacing w:before="0" w:after="160"/>
        <w:ind w:left="360"/>
      </w:pPr>
      <w:r w:rsidRPr="0008625C">
        <w:t>Bu sınırlama, Microsoft'un zararın oluşma olasılığını bilmesi veya bilmesinin gerekmesi halinde de geçerlidir. Yukarıdaki sınırlama veya hariç tutma, eyaletiniz veya ülkeniz müsbet zararlarla bağlantılı, neticede oluşan veya diğer zararların sınırlanmasına veya hariç tutulmasına izin vermediği takdirde sizin için geçerli olmayabilir.</w:t>
      </w:r>
    </w:p>
    <w:p w14:paraId="72D3FB7E" w14:textId="11F77ADD" w:rsidR="00396E3C" w:rsidRPr="0008625C" w:rsidRDefault="00B32E69" w:rsidP="009F1F98">
      <w:pPr>
        <w:spacing w:before="0" w:after="160"/>
        <w:ind w:hanging="357"/>
      </w:pPr>
      <w:r w:rsidRPr="0008625C">
        <w:rPr>
          <w:rFonts w:eastAsia="Times New Roman"/>
          <w:color w:val="000000"/>
        </w:rPr>
        <w:t xml:space="preserve">EULAID: </w:t>
      </w:r>
      <w:r w:rsidRPr="0008625C">
        <w:rPr>
          <w:rFonts w:eastAsia="Times New Roman"/>
          <w:color w:val="1F3864"/>
        </w:rPr>
        <w:t>VS2017_CTP_EVAL_VS_</w:t>
      </w:r>
      <w:r w:rsidR="009F1F98">
        <w:rPr>
          <w:rFonts w:eastAsia="Times New Roman"/>
          <w:color w:val="1F3864"/>
        </w:rPr>
        <w:t>T</w:t>
      </w:r>
      <w:r w:rsidR="00B956EB">
        <w:rPr>
          <w:rFonts w:eastAsia="Times New Roman"/>
          <w:color w:val="1F3864"/>
        </w:rPr>
        <w:t>RK</w:t>
      </w:r>
      <w:bookmarkStart w:id="0" w:name="_GoBack"/>
      <w:bookmarkEnd w:id="0"/>
      <w:r w:rsidRPr="0008625C">
        <w:rPr>
          <w:rFonts w:eastAsia="Times New Roman"/>
          <w:color w:val="1F3864"/>
        </w:rPr>
        <w:t>.2 </w:t>
      </w:r>
    </w:p>
    <w:sectPr w:rsidR="00396E3C" w:rsidRPr="0008625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3872C" w14:textId="77777777" w:rsidR="003D4DF1" w:rsidRDefault="003D4DF1" w:rsidP="00134443">
      <w:pPr>
        <w:spacing w:before="0" w:after="0"/>
      </w:pPr>
      <w:r>
        <w:separator/>
      </w:r>
    </w:p>
  </w:endnote>
  <w:endnote w:type="continuationSeparator" w:id="0">
    <w:p w14:paraId="5FBA9341" w14:textId="77777777" w:rsidR="003D4DF1" w:rsidRDefault="003D4DF1" w:rsidP="001344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09DB" w14:textId="77777777" w:rsidR="00134443" w:rsidRDefault="0013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2A7C" w14:textId="77777777" w:rsidR="00134443" w:rsidRDefault="00134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928E" w14:textId="77777777" w:rsidR="00134443" w:rsidRDefault="0013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E972" w14:textId="77777777" w:rsidR="003D4DF1" w:rsidRDefault="003D4DF1" w:rsidP="00134443">
      <w:pPr>
        <w:spacing w:before="0" w:after="0"/>
      </w:pPr>
      <w:r>
        <w:separator/>
      </w:r>
    </w:p>
  </w:footnote>
  <w:footnote w:type="continuationSeparator" w:id="0">
    <w:p w14:paraId="033595AC" w14:textId="77777777" w:rsidR="003D4DF1" w:rsidRDefault="003D4DF1" w:rsidP="001344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5AEF" w14:textId="77777777" w:rsidR="00134443" w:rsidRDefault="0013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BF97" w14:textId="77777777" w:rsidR="00134443" w:rsidRDefault="00134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29A1" w14:textId="77777777" w:rsidR="00134443" w:rsidRDefault="00134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CFA6BF9E"/>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83CC5"/>
    <w:rsid w:val="0008625C"/>
    <w:rsid w:val="000B6D90"/>
    <w:rsid w:val="000D5258"/>
    <w:rsid w:val="000D57A3"/>
    <w:rsid w:val="000E775D"/>
    <w:rsid w:val="000F22A4"/>
    <w:rsid w:val="00100963"/>
    <w:rsid w:val="00102582"/>
    <w:rsid w:val="00134443"/>
    <w:rsid w:val="00136B59"/>
    <w:rsid w:val="001372CC"/>
    <w:rsid w:val="00141F26"/>
    <w:rsid w:val="00145590"/>
    <w:rsid w:val="00153AE0"/>
    <w:rsid w:val="00160AD5"/>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B30DE"/>
    <w:rsid w:val="002B3B99"/>
    <w:rsid w:val="002B61B3"/>
    <w:rsid w:val="002D6E56"/>
    <w:rsid w:val="00314D64"/>
    <w:rsid w:val="00331E93"/>
    <w:rsid w:val="003365BA"/>
    <w:rsid w:val="003676DA"/>
    <w:rsid w:val="00376644"/>
    <w:rsid w:val="00396E3C"/>
    <w:rsid w:val="003B5050"/>
    <w:rsid w:val="003C37A1"/>
    <w:rsid w:val="003D1BE4"/>
    <w:rsid w:val="003D4DF1"/>
    <w:rsid w:val="003E1F6C"/>
    <w:rsid w:val="003F63B4"/>
    <w:rsid w:val="00400EAC"/>
    <w:rsid w:val="00407C5A"/>
    <w:rsid w:val="00407CCA"/>
    <w:rsid w:val="0041128E"/>
    <w:rsid w:val="0041396C"/>
    <w:rsid w:val="00417214"/>
    <w:rsid w:val="00421AE1"/>
    <w:rsid w:val="00431BCC"/>
    <w:rsid w:val="00441B8C"/>
    <w:rsid w:val="004446EF"/>
    <w:rsid w:val="004B5229"/>
    <w:rsid w:val="004C3AAC"/>
    <w:rsid w:val="005114EC"/>
    <w:rsid w:val="00530576"/>
    <w:rsid w:val="00536564"/>
    <w:rsid w:val="00536DF3"/>
    <w:rsid w:val="00541550"/>
    <w:rsid w:val="00543875"/>
    <w:rsid w:val="005506A4"/>
    <w:rsid w:val="00551D5D"/>
    <w:rsid w:val="00561C14"/>
    <w:rsid w:val="00563EFB"/>
    <w:rsid w:val="005A0C75"/>
    <w:rsid w:val="005A43CF"/>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2DD7"/>
    <w:rsid w:val="007341FA"/>
    <w:rsid w:val="00740F6E"/>
    <w:rsid w:val="00754170"/>
    <w:rsid w:val="007579C4"/>
    <w:rsid w:val="007867E0"/>
    <w:rsid w:val="007954AD"/>
    <w:rsid w:val="007B3889"/>
    <w:rsid w:val="007C6A8E"/>
    <w:rsid w:val="007F1DF1"/>
    <w:rsid w:val="008034A9"/>
    <w:rsid w:val="008060BE"/>
    <w:rsid w:val="00811EC1"/>
    <w:rsid w:val="00817833"/>
    <w:rsid w:val="00824218"/>
    <w:rsid w:val="0083050A"/>
    <w:rsid w:val="008352E8"/>
    <w:rsid w:val="00837618"/>
    <w:rsid w:val="00845E6D"/>
    <w:rsid w:val="0084687F"/>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1F98"/>
    <w:rsid w:val="009F2253"/>
    <w:rsid w:val="009F489C"/>
    <w:rsid w:val="00A038C5"/>
    <w:rsid w:val="00A1448B"/>
    <w:rsid w:val="00A26A74"/>
    <w:rsid w:val="00A36DC2"/>
    <w:rsid w:val="00A45676"/>
    <w:rsid w:val="00A579D5"/>
    <w:rsid w:val="00A73297"/>
    <w:rsid w:val="00A850C7"/>
    <w:rsid w:val="00A86FBD"/>
    <w:rsid w:val="00AA0100"/>
    <w:rsid w:val="00AB450C"/>
    <w:rsid w:val="00AD22E2"/>
    <w:rsid w:val="00AD48A4"/>
    <w:rsid w:val="00AD4F3A"/>
    <w:rsid w:val="00AD545F"/>
    <w:rsid w:val="00AE70A0"/>
    <w:rsid w:val="00B16B8E"/>
    <w:rsid w:val="00B17EE2"/>
    <w:rsid w:val="00B27648"/>
    <w:rsid w:val="00B32E69"/>
    <w:rsid w:val="00B93B4D"/>
    <w:rsid w:val="00B956EB"/>
    <w:rsid w:val="00BE2E12"/>
    <w:rsid w:val="00C012A0"/>
    <w:rsid w:val="00C21CF3"/>
    <w:rsid w:val="00C249B7"/>
    <w:rsid w:val="00C41708"/>
    <w:rsid w:val="00C42B00"/>
    <w:rsid w:val="00C56CF0"/>
    <w:rsid w:val="00C66EC7"/>
    <w:rsid w:val="00C71DDC"/>
    <w:rsid w:val="00C7673D"/>
    <w:rsid w:val="00C8335E"/>
    <w:rsid w:val="00C852AF"/>
    <w:rsid w:val="00CA3ED0"/>
    <w:rsid w:val="00CB1CFE"/>
    <w:rsid w:val="00CC0F55"/>
    <w:rsid w:val="00CD4F20"/>
    <w:rsid w:val="00CE75EA"/>
    <w:rsid w:val="00CF725A"/>
    <w:rsid w:val="00D01378"/>
    <w:rsid w:val="00D015E8"/>
    <w:rsid w:val="00D028FC"/>
    <w:rsid w:val="00D11AC6"/>
    <w:rsid w:val="00D154B4"/>
    <w:rsid w:val="00D478B0"/>
    <w:rsid w:val="00D5332D"/>
    <w:rsid w:val="00D5366A"/>
    <w:rsid w:val="00D73A6E"/>
    <w:rsid w:val="00D76620"/>
    <w:rsid w:val="00D82F24"/>
    <w:rsid w:val="00DB152D"/>
    <w:rsid w:val="00DB15B2"/>
    <w:rsid w:val="00DD2908"/>
    <w:rsid w:val="00E16347"/>
    <w:rsid w:val="00E26AD6"/>
    <w:rsid w:val="00E35AB1"/>
    <w:rsid w:val="00E4579E"/>
    <w:rsid w:val="00E54C77"/>
    <w:rsid w:val="00E8156A"/>
    <w:rsid w:val="00E858A3"/>
    <w:rsid w:val="00EA2EBE"/>
    <w:rsid w:val="00EA72B6"/>
    <w:rsid w:val="00EB70C9"/>
    <w:rsid w:val="00EC19D1"/>
    <w:rsid w:val="00EC7E1B"/>
    <w:rsid w:val="00ED449D"/>
    <w:rsid w:val="00EF687F"/>
    <w:rsid w:val="00F17BFD"/>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134443"/>
    <w:pPr>
      <w:tabs>
        <w:tab w:val="center" w:pos="4680"/>
        <w:tab w:val="right" w:pos="9360"/>
      </w:tabs>
      <w:spacing w:before="0" w:after="0"/>
    </w:pPr>
  </w:style>
  <w:style w:type="character" w:customStyle="1" w:styleId="HeaderChar">
    <w:name w:val="Header Char"/>
    <w:basedOn w:val="DefaultParagraphFont"/>
    <w:link w:val="Header"/>
    <w:uiPriority w:val="99"/>
    <w:rsid w:val="00134443"/>
    <w:rPr>
      <w:rFonts w:ascii="Tahoma" w:eastAsia="MS Mincho" w:hAnsi="Tahoma" w:cs="Tahoma"/>
      <w:sz w:val="19"/>
      <w:szCs w:val="19"/>
    </w:rPr>
  </w:style>
  <w:style w:type="paragraph" w:styleId="Footer">
    <w:name w:val="footer"/>
    <w:basedOn w:val="Normal"/>
    <w:link w:val="FooterChar"/>
    <w:uiPriority w:val="99"/>
    <w:unhideWhenUsed/>
    <w:rsid w:val="00134443"/>
    <w:pPr>
      <w:tabs>
        <w:tab w:val="center" w:pos="4680"/>
        <w:tab w:val="right" w:pos="9360"/>
      </w:tabs>
      <w:spacing w:before="0" w:after="0"/>
    </w:pPr>
  </w:style>
  <w:style w:type="character" w:customStyle="1" w:styleId="FooterChar">
    <w:name w:val="Footer Char"/>
    <w:basedOn w:val="DefaultParagraphFont"/>
    <w:link w:val="Footer"/>
    <w:uiPriority w:val="99"/>
    <w:rsid w:val="00134443"/>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yperlink" Target="http://www.microsoft.com/expor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irdpartysource.microsof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2017-03-10T17:46:00Z</dcterms:created>
  <dcterms:modified xsi:type="dcterms:W3CDTF">2017-03-10T17:46:00Z</dcterms:modified>
</cp:coreProperties>
</file>