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7F69" w14:textId="77777777" w:rsidR="004F175E" w:rsidRDefault="004F175E" w:rsidP="004F175E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0D1EA595" w14:textId="77777777" w:rsidR="004F175E" w:rsidRDefault="004F175E" w:rsidP="004F175E">
      <w:pPr>
        <w:rPr>
          <w:rFonts w:ascii="Tahoma" w:eastAsia="SimSun" w:hAnsi="Tahoma" w:cs="Tahoma"/>
          <w:b/>
          <w:bCs/>
          <w:sz w:val="20"/>
          <w:szCs w:val="20"/>
        </w:rPr>
      </w:pPr>
      <w:bookmarkStart w:id="0" w:name="_GoBack"/>
      <w:bookmarkEnd w:id="0"/>
    </w:p>
    <w:p w14:paraId="6BC2EEB6" w14:textId="77777777" w:rsidR="004F175E" w:rsidRPr="001B2E15" w:rsidRDefault="004F175E" w:rsidP="004F175E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LICENČNÍ PODMÍNKY K DOPLŇKU</w:t>
      </w:r>
    </w:p>
    <w:p w14:paraId="304CB50E" w14:textId="77777777" w:rsidR="004F175E" w:rsidRPr="001B2E15" w:rsidRDefault="004F175E" w:rsidP="004F175E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 PRO:</w:t>
      </w:r>
    </w:p>
    <w:p w14:paraId="09CA9429" w14:textId="77777777" w:rsidR="004F175E" w:rsidRPr="001B2E15" w:rsidRDefault="004F175E" w:rsidP="004F175E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ZKUŠEBNÍ VERZE PRODUKTU VISUAL STUDIO ENTERPRISE 2017 A</w:t>
      </w:r>
    </w:p>
    <w:p w14:paraId="3BA2939B" w14:textId="77777777" w:rsidR="004F175E" w:rsidRPr="001B2E15" w:rsidRDefault="004F175E" w:rsidP="004F175E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ZKUŠEBNÍ VERZE PRODUKTU VISUAL STUDIO TEST PROFESSIONAL 2017;</w:t>
      </w:r>
    </w:p>
    <w:p w14:paraId="67056950" w14:textId="77777777" w:rsidR="004F175E" w:rsidRPr="001B2E15" w:rsidRDefault="004F175E" w:rsidP="004F175E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55A61141" w14:textId="77777777" w:rsidR="004F175E" w:rsidRDefault="004F175E" w:rsidP="004F175E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ODBĚR PRODUKTU VISUAL STUDIO ENTERPRISE 2017;</w:t>
      </w:r>
    </w:p>
    <w:p w14:paraId="5EF0D9BB" w14:textId="77777777" w:rsidR="004F175E" w:rsidRDefault="004F175E" w:rsidP="004F175E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– ROČNÍ ODBĚR CLOUDU;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ODBĚR PRODUKTU VISUAL STUDIO TEST PROFESSIONAL 2017 A</w:t>
      </w:r>
    </w:p>
    <w:p w14:paraId="58DDC315" w14:textId="77777777" w:rsidR="004F175E" w:rsidRPr="001B2E15" w:rsidRDefault="004F175E" w:rsidP="004F175E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PLATFORMY MSDN</w:t>
      </w:r>
    </w:p>
    <w:p w14:paraId="4E91E8E6" w14:textId="77777777" w:rsidR="004F175E" w:rsidRDefault="004F175E" w:rsidP="004F175E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4EA0AB73" w14:textId="77777777" w:rsidR="004F175E" w:rsidRDefault="004F175E" w:rsidP="004F175E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Licenci k tomuto doplňku vám poskytuje společnost Microsoft Corporation (nebo některá z jejích afilací v závislosti na tom, kde bydlíte). Můžete jej užívat s platně licencovanou kopií zkušební verze softwaru Visual Studio a programem odběru uvedeným výše („software a/nebo odběr“). Tento doplněk nesmíte užívat, pokud nemáte licenci k softwaru nebo odběru. Na vaše užívání tohoto doplňku se vztahují tyto licenční podmínky pro software a odběr. </w:t>
      </w:r>
    </w:p>
    <w:p w14:paraId="04DE4A33" w14:textId="77777777" w:rsidR="004F175E" w:rsidRDefault="004F175E" w:rsidP="004F175E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DODRŽÍTE-LI TYTO LICENČNÍ PODMÍNKY, MÁTE NÁSLEDUJÍCÍ PRÁVA.</w:t>
      </w:r>
    </w:p>
    <w:p w14:paraId="5ED13DD3" w14:textId="77777777" w:rsidR="004F175E" w:rsidRDefault="004F175E" w:rsidP="004F175E">
      <w:pPr>
        <w:pStyle w:val="PreambleBorderAbove"/>
        <w:widowControl w:val="0"/>
        <w:spacing w:before="0" w:after="0"/>
        <w:rPr>
          <w:rFonts w:eastAsia="SimSun"/>
        </w:rPr>
      </w:pPr>
    </w:p>
    <w:p w14:paraId="1C3DA371" w14:textId="77777777" w:rsidR="004F175E" w:rsidRDefault="004F175E" w:rsidP="004F175E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INSTALACE A UŽÍVÁNÍ</w:t>
      </w:r>
      <w:r w:rsidRPr="007372DC">
        <w:rPr>
          <w:rFonts w:eastAsia="SimSun"/>
          <w:bCs w:val="0"/>
        </w:rPr>
        <w:t>.</w:t>
      </w:r>
      <w:r>
        <w:rPr>
          <w:rFonts w:eastAsia="SimSun"/>
          <w:b w:val="0"/>
        </w:rPr>
        <w:t xml:space="preserve"> </w:t>
      </w:r>
      <w:r>
        <w:rPr>
          <w:b w:val="0"/>
        </w:rPr>
        <w:t xml:space="preserve">Licencovaní uživatelé softwaru nebo odběru mohou užívat kopie doplňku. </w:t>
      </w:r>
    </w:p>
    <w:p w14:paraId="03B3ED16" w14:textId="77777777" w:rsidR="004F175E" w:rsidRPr="00C85BBA" w:rsidRDefault="004F175E" w:rsidP="004F175E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89B1FF6" w14:textId="77777777" w:rsidR="004F175E" w:rsidRDefault="004F175E" w:rsidP="004F175E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ODBORNÁ POMOC PRO DOPLNĚK. </w:t>
      </w:r>
      <w:r>
        <w:rPr>
          <w:rFonts w:eastAsia="SimSun"/>
          <w:b w:val="0"/>
          <w:bCs w:val="0"/>
        </w:rPr>
        <w:t>Tento doplněk není podporován jako samostatná instalace. Informace o službách odborné pomoci pro doplněk naleznete v licenci k odběru pro:</w:t>
      </w:r>
    </w:p>
    <w:p w14:paraId="6225F855" w14:textId="77777777" w:rsidR="004F175E" w:rsidRPr="00611E7D" w:rsidRDefault="004F175E" w:rsidP="004F175E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5B4B828" w14:textId="77777777" w:rsidR="004F175E" w:rsidRDefault="004F175E" w:rsidP="004F175E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Odběr produktu Visual Studio Enterprise 2017;</w:t>
      </w:r>
    </w:p>
    <w:p w14:paraId="6109CA38" w14:textId="77777777" w:rsidR="004F175E" w:rsidRPr="00611E7D" w:rsidRDefault="004F175E" w:rsidP="004F175E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– roční odběr cloudu</w:t>
      </w:r>
    </w:p>
    <w:p w14:paraId="4F9FB191" w14:textId="77777777" w:rsidR="004F175E" w:rsidRPr="008F34E8" w:rsidRDefault="004F175E" w:rsidP="004F175E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Odběr produktu Visual Studio Test Professional 2017 nebo</w:t>
      </w:r>
    </w:p>
    <w:p w14:paraId="3C6BDEBE" w14:textId="77777777" w:rsidR="004F175E" w:rsidRDefault="004F175E" w:rsidP="004F175E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Platformy MSDN</w:t>
      </w:r>
    </w:p>
    <w:p w14:paraId="114CFB6A" w14:textId="77777777" w:rsidR="004F175E" w:rsidRDefault="004F175E" w:rsidP="004F175E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5155C38F" w14:textId="2542F9DB" w:rsidR="004F175E" w:rsidRPr="00F97CED" w:rsidRDefault="004F175E" w:rsidP="00FB6DC3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Užíváte-li tento doplněk s jednou z následujících zkušebních verzí softwaru, platí ustanovení o</w:t>
      </w:r>
      <w:r w:rsidR="00FB6DC3">
        <w:rPr>
          <w:b w:val="0"/>
          <w:bCs w:val="0"/>
        </w:rPr>
        <w:t> </w:t>
      </w:r>
      <w:r>
        <w:rPr>
          <w:b w:val="0"/>
          <w:bCs w:val="0"/>
        </w:rPr>
        <w:t>odborné pomoci ke zkušební verzi:</w:t>
      </w:r>
    </w:p>
    <w:p w14:paraId="623C2BAD" w14:textId="77777777" w:rsidR="004F175E" w:rsidRPr="00F97CED" w:rsidRDefault="004F175E" w:rsidP="004F175E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396466D0" w14:textId="77777777" w:rsidR="004F175E" w:rsidRDefault="004F175E" w:rsidP="004F175E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5BC900AB" w14:textId="77777777" w:rsidR="004F175E" w:rsidRDefault="004F175E" w:rsidP="004F175E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492B886C" w14:textId="77777777" w:rsidR="004F175E" w:rsidRPr="00F97CED" w:rsidRDefault="004F175E" w:rsidP="004F175E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Zkušební verze produktu Visual Studio Enterprise 2017 nebo</w:t>
      </w:r>
    </w:p>
    <w:p w14:paraId="261D6B15" w14:textId="77777777" w:rsidR="004F175E" w:rsidRPr="00BA180C" w:rsidRDefault="004F175E" w:rsidP="004F175E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zkušební verze produktu Visual Studio Test Professional 2017</w:t>
      </w:r>
    </w:p>
    <w:p w14:paraId="51A1C1EB" w14:textId="77777777" w:rsidR="004F175E" w:rsidRDefault="004F175E" w:rsidP="004F175E">
      <w:pPr>
        <w:spacing w:after="0" w:line="240" w:lineRule="auto"/>
      </w:pPr>
    </w:p>
    <w:p w14:paraId="4599448A" w14:textId="77777777" w:rsidR="004F175E" w:rsidRDefault="004F175E" w:rsidP="004F175E"/>
    <w:p w14:paraId="0A7DC5DF" w14:textId="2F48D621" w:rsidR="00C476A8" w:rsidRPr="005B321B" w:rsidRDefault="005B321B" w:rsidP="00AE48B1">
      <w:pPr>
        <w:rPr>
          <w:rFonts w:ascii="Tahoma" w:hAnsi="Tahoma" w:cs="Tahoma"/>
          <w:sz w:val="20"/>
          <w:szCs w:val="20"/>
          <w:lang w:val="en-US" w:eastAsia="en-US" w:bidi="ar-SA"/>
        </w:rPr>
      </w:pPr>
      <w:r w:rsidRPr="005B321B">
        <w:rPr>
          <w:rFonts w:ascii="Tahoma" w:hAnsi="Tahoma" w:cs="Tahoma"/>
          <w:sz w:val="20"/>
          <w:szCs w:val="20"/>
        </w:rPr>
        <w:t>EULA ID: VS2017_AGENTS_SUPPLEMENTAL_RTW_</w:t>
      </w:r>
      <w:r w:rsidR="00AE48B1" w:rsidRPr="00AE48B1">
        <w:rPr>
          <w:rFonts w:ascii="Tahoma" w:hAnsi="Tahoma" w:cs="Tahoma"/>
          <w:sz w:val="20"/>
          <w:szCs w:val="20"/>
          <w:lang w:val="en-US" w:eastAsia="en-US" w:bidi="ar-SA"/>
        </w:rPr>
        <w:t>CSY</w:t>
      </w:r>
    </w:p>
    <w:sectPr w:rsidR="00C476A8" w:rsidRPr="005B3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2FD5" w14:textId="77777777" w:rsidR="0017190C" w:rsidRDefault="0017190C" w:rsidP="0050711E">
      <w:pPr>
        <w:spacing w:after="0" w:line="240" w:lineRule="auto"/>
      </w:pPr>
      <w:r>
        <w:separator/>
      </w:r>
    </w:p>
  </w:endnote>
  <w:endnote w:type="continuationSeparator" w:id="0">
    <w:p w14:paraId="52A688C5" w14:textId="77777777" w:rsidR="0017190C" w:rsidRDefault="0017190C" w:rsidP="0050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4DAA" w14:textId="77777777" w:rsidR="0050711E" w:rsidRDefault="00507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954E" w14:textId="77777777" w:rsidR="0050711E" w:rsidRDefault="00507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4058" w14:textId="77777777" w:rsidR="0050711E" w:rsidRDefault="0050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6A04" w14:textId="77777777" w:rsidR="0017190C" w:rsidRDefault="0017190C" w:rsidP="0050711E">
      <w:pPr>
        <w:spacing w:after="0" w:line="240" w:lineRule="auto"/>
      </w:pPr>
      <w:r>
        <w:separator/>
      </w:r>
    </w:p>
  </w:footnote>
  <w:footnote w:type="continuationSeparator" w:id="0">
    <w:p w14:paraId="543DAD67" w14:textId="77777777" w:rsidR="0017190C" w:rsidRDefault="0017190C" w:rsidP="0050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F369" w14:textId="77777777" w:rsidR="0050711E" w:rsidRDefault="00507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6950" w14:textId="77777777" w:rsidR="0050711E" w:rsidRDefault="00507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ABEA" w14:textId="77777777" w:rsidR="0050711E" w:rsidRDefault="00507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51498"/>
    <w:rsid w:val="00066333"/>
    <w:rsid w:val="00121EA8"/>
    <w:rsid w:val="00135E9A"/>
    <w:rsid w:val="0017190C"/>
    <w:rsid w:val="00190DE4"/>
    <w:rsid w:val="00212828"/>
    <w:rsid w:val="00350949"/>
    <w:rsid w:val="00395A4C"/>
    <w:rsid w:val="003B06B5"/>
    <w:rsid w:val="003D42A2"/>
    <w:rsid w:val="00422213"/>
    <w:rsid w:val="00436A19"/>
    <w:rsid w:val="00492736"/>
    <w:rsid w:val="004F175E"/>
    <w:rsid w:val="0050711E"/>
    <w:rsid w:val="00507941"/>
    <w:rsid w:val="005B321B"/>
    <w:rsid w:val="006223F7"/>
    <w:rsid w:val="00681590"/>
    <w:rsid w:val="006A3BC6"/>
    <w:rsid w:val="006C7FAB"/>
    <w:rsid w:val="007175CA"/>
    <w:rsid w:val="007372DC"/>
    <w:rsid w:val="007D4084"/>
    <w:rsid w:val="007F6FA5"/>
    <w:rsid w:val="00803999"/>
    <w:rsid w:val="00890A4F"/>
    <w:rsid w:val="008E52A0"/>
    <w:rsid w:val="009A4045"/>
    <w:rsid w:val="00A14AE8"/>
    <w:rsid w:val="00AE48B1"/>
    <w:rsid w:val="00B22D97"/>
    <w:rsid w:val="00B47767"/>
    <w:rsid w:val="00B77BD2"/>
    <w:rsid w:val="00B932CB"/>
    <w:rsid w:val="00BC636F"/>
    <w:rsid w:val="00C1742F"/>
    <w:rsid w:val="00C476A8"/>
    <w:rsid w:val="00C8197B"/>
    <w:rsid w:val="00C95127"/>
    <w:rsid w:val="00CB0FF6"/>
    <w:rsid w:val="00CC6D0A"/>
    <w:rsid w:val="00CF56E6"/>
    <w:rsid w:val="00D4300F"/>
    <w:rsid w:val="00D65578"/>
    <w:rsid w:val="00E27645"/>
    <w:rsid w:val="00E62318"/>
    <w:rsid w:val="00E83D42"/>
    <w:rsid w:val="00E84022"/>
    <w:rsid w:val="00EC256C"/>
    <w:rsid w:val="00EF5B81"/>
    <w:rsid w:val="00F338A9"/>
    <w:rsid w:val="00F71980"/>
    <w:rsid w:val="00F759D7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1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1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1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1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2017-02-10T13:14:00Z</dcterms:created>
  <dcterms:modified xsi:type="dcterms:W3CDTF">2017-02-14T19:50:00Z</dcterms:modified>
</cp:coreProperties>
</file>