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4862E" w14:textId="2782ED6A" w:rsidR="003B06B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64DAD62B" w14:textId="1272BF2E" w:rsidR="00CF56E6" w:rsidRDefault="00CF56E6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7EEC5039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UZUPEŁNIAJĄCE POSTANOWIENIA LICENCJI</w:t>
      </w:r>
    </w:p>
    <w:p w14:paraId="4ACE9FC8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MICROSOFT VISUAL STUDIO AGENTS 2017 DLA:</w:t>
      </w:r>
    </w:p>
    <w:p w14:paraId="73D485E8" w14:textId="7B5411C1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WERSJI PRÓBNEJ VISUAL STUDIO ENTERPRISE 2017;</w:t>
      </w:r>
    </w:p>
    <w:p w14:paraId="3B2215B5" w14:textId="67D1665D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WERSJI PRÓBNEJ VISUAL STUDIO TEST PROFESSIONAL 2017;</w:t>
      </w:r>
    </w:p>
    <w:p w14:paraId="25A7A77C" w14:textId="77777777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</w:p>
    <w:p w14:paraId="2BD0F4A6" w14:textId="3A572795" w:rsidR="003B06B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SUBSKRYPCJI VISUAL STUDIO ENTERPRISE 2017;</w:t>
      </w:r>
    </w:p>
    <w:p w14:paraId="0A464B6A" w14:textId="5D08EC6D" w:rsidR="003B06B5" w:rsidRDefault="006A3BC6" w:rsidP="00CF56E6">
      <w:pPr>
        <w:spacing w:after="0" w:line="240" w:lineRule="auto"/>
        <w:ind w:left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ROCZNEJ SUBSKRYPCJI CHMURY VISUAL STUDIO ENTERPRISE;</w:t>
      </w:r>
      <w:r>
        <w:rPr>
          <w:rFonts w:ascii="Tahoma" w:eastAsia="SimSun" w:hAnsi="Tahoma" w:cs="Tahoma"/>
          <w:b/>
          <w:bCs/>
          <w:sz w:val="20"/>
          <w:szCs w:val="20"/>
        </w:rPr>
        <w:br/>
        <w:t>SUBSKRYPCJI VISUAL STUDIO TEST PROFESSIONAL 2017 ORAZ</w:t>
      </w:r>
    </w:p>
    <w:p w14:paraId="45C7E372" w14:textId="77777777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PLATFORMY MSDN</w:t>
      </w:r>
    </w:p>
    <w:p w14:paraId="206D6043" w14:textId="77777777" w:rsidR="003B06B5" w:rsidRDefault="003B06B5" w:rsidP="003B06B5">
      <w:pPr>
        <w:pStyle w:val="HeadingEULA"/>
        <w:widowControl w:val="0"/>
        <w:pBdr>
          <w:bottom w:val="single" w:sz="4" w:space="1" w:color="auto"/>
        </w:pBdr>
        <w:spacing w:before="0" w:after="0"/>
        <w:ind w:firstLine="720"/>
        <w:rPr>
          <w:rFonts w:eastAsia="SimSun"/>
          <w:sz w:val="20"/>
          <w:szCs w:val="20"/>
        </w:rPr>
      </w:pPr>
    </w:p>
    <w:p w14:paraId="1F12A7A2" w14:textId="0F970C87" w:rsidR="003B06B5" w:rsidRDefault="003B06B5" w:rsidP="003B06B5">
      <w:pPr>
        <w:pStyle w:val="Preamble"/>
        <w:widowControl w:val="0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>Microsoft Corporation (albo, w zależności od miejsca zamieszkania Licencjobiorcy, jeden z podmiotów stowarzyszonych Microsoft Corporation) udziela Licencjobiorcy licencji na to uzupełnienie.</w:t>
      </w:r>
      <w:r w:rsidR="006F232B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Licencjobiorca może go używać z każdą poprawnie licencjonowaną kopią wersji próbnej oprogramowania Visual Studio oraz programem subskrypcji określonym powyżej („Oprogramowanie lub Subskrypcja”).</w:t>
      </w:r>
      <w:r w:rsidR="006F232B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 xml:space="preserve">Licencjobiorca nie może używać uzupełnienia, jeśli nie ma licencji na Oprogramowanie lub Subskrypcję. Używanie tego uzupełnienia podlega postanowieniom licencyjnym dotyczącym Oprogramowania lub Subskrypcji. </w:t>
      </w:r>
    </w:p>
    <w:p w14:paraId="29B5BBA8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  <w:r>
        <w:rPr>
          <w:rFonts w:eastAsia="SimSun"/>
        </w:rPr>
        <w:t>JEŚLI LICENCJOBIORCA PRZESTRZEGA NINIEJSZYCH POSTANOWIEŃ LICENCYJNYCH, UZYSKUJE OPISANE PONIŻEJ PRAWA.</w:t>
      </w:r>
    </w:p>
    <w:p w14:paraId="3BECF2A6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</w:p>
    <w:p w14:paraId="0C25A340" w14:textId="635142A3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b w:val="0"/>
        </w:rPr>
      </w:pPr>
      <w:r>
        <w:rPr>
          <w:rFonts w:eastAsia="SimSun"/>
          <w:bCs w:val="0"/>
        </w:rPr>
        <w:t>INSTALACJA I UŻYWANIE.</w:t>
      </w:r>
      <w:r w:rsidR="006F232B">
        <w:rPr>
          <w:rFonts w:eastAsia="SimSun"/>
          <w:b w:val="0"/>
        </w:rPr>
        <w:t xml:space="preserve"> </w:t>
      </w:r>
      <w:r>
        <w:rPr>
          <w:b w:val="0"/>
        </w:rPr>
        <w:t xml:space="preserve">Licencjonowani użytkownicy Oprogramowania lub Subskrypcji mogą używać kopii tego uzupełnienia. </w:t>
      </w:r>
    </w:p>
    <w:p w14:paraId="1AF472AB" w14:textId="77777777" w:rsidR="003B06B5" w:rsidRPr="00C85BBA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</w:rPr>
      </w:pPr>
    </w:p>
    <w:p w14:paraId="2EDFC83D" w14:textId="0FAE98AE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rFonts w:eastAsia="SimSun"/>
          <w:b w:val="0"/>
          <w:bCs w:val="0"/>
        </w:rPr>
      </w:pPr>
      <w:r>
        <w:rPr>
          <w:rFonts w:eastAsia="SimSun"/>
        </w:rPr>
        <w:t xml:space="preserve">POMOC TECHNICZNA DOTYCZĄCA UZUPEŁNIENIA. </w:t>
      </w:r>
      <w:r>
        <w:rPr>
          <w:rFonts w:eastAsia="SimSun"/>
          <w:b w:val="0"/>
          <w:bCs w:val="0"/>
        </w:rPr>
        <w:t>Niniejsze uzupełnienie nie jest obsługiwane jako samodzielna instalacja.</w:t>
      </w:r>
      <w:r w:rsidR="006F232B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Dodatkowe informacje dotyczące usług pomocy technicznej do tego uzupełnienia znajdują się w licencji subskrypcyjnej dla:</w:t>
      </w:r>
    </w:p>
    <w:p w14:paraId="5A1195E3" w14:textId="77777777" w:rsidR="003B06B5" w:rsidRPr="00611E7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rPr>
          <w:rFonts w:eastAsia="SimSun"/>
          <w:b w:val="0"/>
          <w:bCs w:val="0"/>
        </w:rPr>
      </w:pPr>
    </w:p>
    <w:p w14:paraId="6FB01B79" w14:textId="22245709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subskrypcji Visual Studio Enterprise 2017;</w:t>
      </w:r>
    </w:p>
    <w:p w14:paraId="672BBDFF" w14:textId="6EDA9073" w:rsidR="00E84022" w:rsidRPr="00611E7D" w:rsidRDefault="006A3BC6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rocznej subskrypcji chmury Visual Studio Enterprise;</w:t>
      </w:r>
    </w:p>
    <w:p w14:paraId="521AF461" w14:textId="36CE8BE4" w:rsidR="003B06B5" w:rsidRPr="008F34E8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subskrypcji Visual Studio Test Professional 2017 lub</w:t>
      </w:r>
    </w:p>
    <w:p w14:paraId="6F1E1E27" w14:textId="77777777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platformy MSDN</w:t>
      </w:r>
    </w:p>
    <w:p w14:paraId="7177B41A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</w:rPr>
      </w:pPr>
    </w:p>
    <w:p w14:paraId="1845460E" w14:textId="6CEA792A" w:rsidR="003B06B5" w:rsidRPr="00F97CE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  <w:vanish/>
          <w:specVanish/>
        </w:rPr>
      </w:pPr>
      <w:r>
        <w:rPr>
          <w:b w:val="0"/>
          <w:bCs w:val="0"/>
        </w:rPr>
        <w:t>Jeśli Licencjobiorca używa tego uzupełnienia z jedną z poniższych wersji próbnych Oprogramowania, wówczas zastosowanie mają postanowienia dotyczące pomocy technicznej do wersji próbnych:</w:t>
      </w:r>
    </w:p>
    <w:p w14:paraId="349D3D43" w14:textId="77777777" w:rsidR="003B06B5" w:rsidRPr="00F97CED" w:rsidRDefault="003B06B5" w:rsidP="003B06B5">
      <w:pPr>
        <w:pStyle w:val="Heading3Bold"/>
        <w:numPr>
          <w:ilvl w:val="2"/>
          <w:numId w:val="1"/>
        </w:numPr>
        <w:spacing w:before="0" w:after="0"/>
        <w:rPr>
          <w:vanish/>
          <w:specVanish/>
        </w:rPr>
      </w:pPr>
      <w:r>
        <w:t xml:space="preserve"> </w:t>
      </w:r>
    </w:p>
    <w:p w14:paraId="0F43F355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 w:hanging="357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 xml:space="preserve"> </w:t>
      </w:r>
    </w:p>
    <w:p w14:paraId="3CDABC00" w14:textId="77777777" w:rsidR="003B06B5" w:rsidRDefault="003B06B5" w:rsidP="003B06B5">
      <w:pPr>
        <w:pStyle w:val="Heading3Bold"/>
        <w:numPr>
          <w:ilvl w:val="0"/>
          <w:numId w:val="0"/>
        </w:numPr>
        <w:spacing w:before="0" w:after="0"/>
        <w:ind w:left="1077"/>
        <w:rPr>
          <w:b w:val="0"/>
          <w:bCs w:val="0"/>
        </w:rPr>
      </w:pPr>
    </w:p>
    <w:p w14:paraId="2E6B27B7" w14:textId="5D550367" w:rsidR="003B06B5" w:rsidRPr="00F97CED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wersji próbnej Visual Studio Enterprise 2017 lub</w:t>
      </w:r>
    </w:p>
    <w:p w14:paraId="5FDF578B" w14:textId="50E92C8F" w:rsidR="003B06B5" w:rsidRPr="00BA180C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wersji próbnej Visual Studio Test Professional 2017</w:t>
      </w:r>
    </w:p>
    <w:p w14:paraId="162E54F4" w14:textId="77777777" w:rsidR="003B06B5" w:rsidRDefault="003B06B5" w:rsidP="003B06B5">
      <w:pPr>
        <w:spacing w:after="0" w:line="240" w:lineRule="auto"/>
      </w:pPr>
    </w:p>
    <w:p w14:paraId="36598063" w14:textId="77777777" w:rsidR="00492736" w:rsidRDefault="00492736" w:rsidP="00492736"/>
    <w:p w14:paraId="0E66B519" w14:textId="4C7A69BE" w:rsidR="00492736" w:rsidRPr="0025661B" w:rsidRDefault="00492736" w:rsidP="00C32E24">
      <w:pPr>
        <w:rPr>
          <w:rFonts w:ascii="Tahoma" w:hAnsi="Tahoma" w:cs="Tahoma"/>
          <w:sz w:val="20"/>
          <w:szCs w:val="20"/>
        </w:rPr>
      </w:pPr>
      <w:r w:rsidRPr="0025661B">
        <w:rPr>
          <w:rFonts w:ascii="Tahoma" w:hAnsi="Tahoma" w:cs="Tahoma"/>
          <w:sz w:val="20"/>
          <w:szCs w:val="20"/>
          <w:lang w:val="en-US" w:eastAsia="en-US" w:bidi="ar-SA"/>
        </w:rPr>
        <w:t>EULA ID: VS2017_AGENTS_SUPPLEMENTAL_RTW_</w:t>
      </w:r>
      <w:r w:rsidR="00C32E24">
        <w:rPr>
          <w:rFonts w:ascii="Tahoma" w:hAnsi="Tahoma" w:cs="Tahoma"/>
          <w:sz w:val="20"/>
          <w:szCs w:val="20"/>
          <w:lang w:val="en-US" w:eastAsia="en-US" w:bidi="ar-SA"/>
        </w:rPr>
        <w:t>PLK</w:t>
      </w:r>
      <w:bookmarkStart w:id="0" w:name="_GoBack"/>
      <w:bookmarkEnd w:id="0"/>
    </w:p>
    <w:p w14:paraId="0A7DC5DF" w14:textId="77777777" w:rsidR="00C476A8" w:rsidRDefault="00C476A8"/>
    <w:sectPr w:rsidR="00C4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9BB71" w14:textId="77777777" w:rsidR="001D4265" w:rsidRDefault="001D4265" w:rsidP="00E94926">
      <w:pPr>
        <w:spacing w:after="0" w:line="240" w:lineRule="auto"/>
      </w:pPr>
      <w:r>
        <w:separator/>
      </w:r>
    </w:p>
  </w:endnote>
  <w:endnote w:type="continuationSeparator" w:id="0">
    <w:p w14:paraId="267D3B62" w14:textId="77777777" w:rsidR="001D4265" w:rsidRDefault="001D4265" w:rsidP="00E9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DAC5" w14:textId="77777777" w:rsidR="00E94926" w:rsidRDefault="00E94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1CBC" w14:textId="77777777" w:rsidR="00E94926" w:rsidRDefault="00E949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23845" w14:textId="77777777" w:rsidR="00E94926" w:rsidRDefault="00E94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A6F72" w14:textId="77777777" w:rsidR="001D4265" w:rsidRDefault="001D4265" w:rsidP="00E94926">
      <w:pPr>
        <w:spacing w:after="0" w:line="240" w:lineRule="auto"/>
      </w:pPr>
      <w:r>
        <w:separator/>
      </w:r>
    </w:p>
  </w:footnote>
  <w:footnote w:type="continuationSeparator" w:id="0">
    <w:p w14:paraId="43D6C144" w14:textId="77777777" w:rsidR="001D4265" w:rsidRDefault="001D4265" w:rsidP="00E9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ACA22" w14:textId="77777777" w:rsidR="00E94926" w:rsidRDefault="00E94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C3644" w14:textId="77777777" w:rsidR="00E94926" w:rsidRDefault="00E949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545A7" w14:textId="77777777" w:rsidR="00E94926" w:rsidRDefault="00E94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B5"/>
    <w:rsid w:val="00037218"/>
    <w:rsid w:val="000F23DD"/>
    <w:rsid w:val="001D4265"/>
    <w:rsid w:val="00212828"/>
    <w:rsid w:val="00221F79"/>
    <w:rsid w:val="00226000"/>
    <w:rsid w:val="00231AB7"/>
    <w:rsid w:val="0025661B"/>
    <w:rsid w:val="002E1E07"/>
    <w:rsid w:val="00350949"/>
    <w:rsid w:val="003B06B5"/>
    <w:rsid w:val="003D42A2"/>
    <w:rsid w:val="00422213"/>
    <w:rsid w:val="00436A19"/>
    <w:rsid w:val="00463647"/>
    <w:rsid w:val="00492736"/>
    <w:rsid w:val="004A660D"/>
    <w:rsid w:val="006223F7"/>
    <w:rsid w:val="006A3BC6"/>
    <w:rsid w:val="006C7FAB"/>
    <w:rsid w:val="006F232B"/>
    <w:rsid w:val="00803999"/>
    <w:rsid w:val="00890A4F"/>
    <w:rsid w:val="009A4045"/>
    <w:rsid w:val="00AD74CD"/>
    <w:rsid w:val="00B47767"/>
    <w:rsid w:val="00B932CB"/>
    <w:rsid w:val="00BB026F"/>
    <w:rsid w:val="00BC636F"/>
    <w:rsid w:val="00C32E24"/>
    <w:rsid w:val="00C476A8"/>
    <w:rsid w:val="00C53F02"/>
    <w:rsid w:val="00C8197B"/>
    <w:rsid w:val="00CC6D0A"/>
    <w:rsid w:val="00CF56E6"/>
    <w:rsid w:val="00D65578"/>
    <w:rsid w:val="00E27645"/>
    <w:rsid w:val="00E62318"/>
    <w:rsid w:val="00E84022"/>
    <w:rsid w:val="00E94926"/>
    <w:rsid w:val="00F43FC7"/>
    <w:rsid w:val="00F71980"/>
    <w:rsid w:val="00F759D7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2E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2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92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2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92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2017-02-14T11:22:00Z</dcterms:created>
  <dcterms:modified xsi:type="dcterms:W3CDTF">2017-02-14T21:32:00Z</dcterms:modified>
</cp:coreProperties>
</file>