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7D33EC" w:rsidRDefault="008E7E47">
      <w:pPr>
        <w:pStyle w:val="HeadingEULA"/>
        <w:widowControl w:val="0"/>
        <w:rPr>
          <w:sz w:val="20"/>
          <w:szCs w:val="20"/>
        </w:rPr>
      </w:pPr>
      <w:bookmarkStart w:id="0" w:name="_GoBack"/>
      <w:bookmarkEnd w:id="0"/>
    </w:p>
    <w:p w:rsidR="008113AA" w:rsidRPr="00E35605" w:rsidRDefault="009A7A15">
      <w:pPr>
        <w:pStyle w:val="HeadingEULA"/>
        <w:widowControl w:val="0"/>
      </w:pPr>
      <w:r>
        <w:rPr>
          <w:rFonts w:eastAsia="SimSun"/>
          <w:sz w:val="20"/>
          <w:szCs w:val="20"/>
        </w:rPr>
        <w:t>POSTANOWIENIA LICENCYJNE DOTYCZĄCE OPROGRAMOWANIA MICROSOFT W WERSJI WSTĘPNEJ</w:t>
      </w:r>
    </w:p>
    <w:p w:rsidR="008E7E47" w:rsidRPr="00D47885" w:rsidRDefault="009A7A15" w:rsidP="008E7E47">
      <w:pPr>
        <w:pStyle w:val="HeadingSoftwareTitle"/>
        <w:widowControl w:val="0"/>
        <w:rPr>
          <w:lang w:val="en-US"/>
        </w:rPr>
      </w:pPr>
      <w:r w:rsidRPr="00D47885">
        <w:rPr>
          <w:rFonts w:eastAsia="SimSun"/>
          <w:sz w:val="20"/>
          <w:szCs w:val="20"/>
          <w:lang w:val="en-US"/>
        </w:rPr>
        <w:t>MICROSOFT VISUAL STUDIO 2017 EXPRESS FOR WINDOWS DESKTOP</w:t>
      </w:r>
    </w:p>
    <w:p w:rsidR="008113AA" w:rsidRPr="00E35605" w:rsidRDefault="009A7A15" w:rsidP="008B3CC8">
      <w:pPr>
        <w:pStyle w:val="Preamble"/>
        <w:widowControl w:val="0"/>
      </w:pPr>
      <w:r>
        <w:rPr>
          <w:rFonts w:eastAsia="SimSun"/>
          <w:b w:val="0"/>
          <w:bCs w:val="0"/>
          <w:sz w:val="20"/>
          <w:szCs w:val="20"/>
        </w:rPr>
        <w:t>Niniejsze postanowienia licencyjne stanowią umowę między Microsoft Corporation (lub, w zależności od miejsca zamieszkania Licencjobiorcy, jednym z podmiotów stowarzyszonych Microsoft Corporation) a Licencjobiorcą. Postanowienia te dotyczą określonego powyżej oprogramowania w wersji wstępnej.</w:t>
      </w:r>
      <w:r w:rsidR="007D33EC">
        <w:rPr>
          <w:rFonts w:eastAsia="SimSun"/>
          <w:b w:val="0"/>
          <w:bCs w:val="0"/>
          <w:sz w:val="20"/>
          <w:szCs w:val="20"/>
        </w:rPr>
        <w:t xml:space="preserve"> </w:t>
      </w:r>
      <w:r>
        <w:rPr>
          <w:rFonts w:eastAsia="SimSun"/>
          <w:b w:val="0"/>
          <w:bCs w:val="0"/>
          <w:sz w:val="20"/>
          <w:szCs w:val="20"/>
        </w:rPr>
        <w:t xml:space="preserve">Niniejsze postanowienia mają również zastosowanie do wszelkich usług i aktualizacji Microsoft dla niniejszego oprogramowania, z wyjątkiem tych, którym towarzyszą inne postanowienia. </w:t>
      </w:r>
    </w:p>
    <w:p w:rsidR="008113AA" w:rsidRPr="00E35605" w:rsidRDefault="009A7A15">
      <w:pPr>
        <w:pStyle w:val="PreambleBorderAbove"/>
        <w:widowControl w:val="0"/>
      </w:pPr>
      <w:r>
        <w:rPr>
          <w:rFonts w:eastAsia="SimSun"/>
          <w:sz w:val="20"/>
          <w:szCs w:val="20"/>
        </w:rPr>
        <w:t>JEŚLI LICENCJOBIORCA PRZESTRZEGA NINIEJSZYCH POSTANOWIEŃ LICENCYJNYCH, UZYSKUJE OPISANE PONIŻEJ PRAWA.</w:t>
      </w:r>
    </w:p>
    <w:p w:rsidR="008113AA" w:rsidRPr="00E35605" w:rsidRDefault="009A7A15" w:rsidP="00146601">
      <w:pPr>
        <w:pStyle w:val="Heading1"/>
        <w:tabs>
          <w:tab w:val="clear" w:pos="810"/>
          <w:tab w:val="num" w:pos="450"/>
        </w:tabs>
        <w:ind w:left="447"/>
      </w:pPr>
      <w:r>
        <w:rPr>
          <w:sz w:val="20"/>
          <w:szCs w:val="20"/>
        </w:rPr>
        <w:t xml:space="preserve">PRAWA DO INSTALACJI I UŻYWANIA. </w:t>
      </w:r>
    </w:p>
    <w:p w:rsidR="00AB465B" w:rsidRPr="00E35605" w:rsidRDefault="00AB465B" w:rsidP="00560275">
      <w:pPr>
        <w:pStyle w:val="CommentText"/>
        <w:numPr>
          <w:ilvl w:val="0"/>
          <w:numId w:val="14"/>
        </w:numPr>
        <w:tabs>
          <w:tab w:val="num" w:pos="720"/>
        </w:tabs>
        <w:spacing w:before="0" w:after="160"/>
      </w:pPr>
      <w:r>
        <w:rPr>
          <w:sz w:val="20"/>
          <w:szCs w:val="20"/>
        </w:rPr>
        <w:t xml:space="preserve">Licencjobiorca może dokonać instalacji i korzystać z dowolnej liczby kopii oprogramowania na posiadanych przez niego urządzeniach wyłącznie na potrzeby oceny tego oprogramowania. </w:t>
      </w:r>
    </w:p>
    <w:p w:rsidR="00AB465B" w:rsidRPr="00E35605" w:rsidRDefault="00AB465B" w:rsidP="00560275">
      <w:pPr>
        <w:pStyle w:val="CommentText"/>
        <w:numPr>
          <w:ilvl w:val="0"/>
          <w:numId w:val="14"/>
        </w:numPr>
        <w:tabs>
          <w:tab w:val="num" w:pos="720"/>
        </w:tabs>
        <w:spacing w:before="0" w:after="160"/>
      </w:pPr>
      <w:r>
        <w:rPr>
          <w:sz w:val="20"/>
          <w:szCs w:val="20"/>
        </w:rPr>
        <w:t>Licencjobiorca nie może rozpowszechniać żadnej aplikacji opracowanej przy użyciu oprogramowania. Może jednak wdrażać takie aplikacje wewnętrznie, wyłącznie w celu ewaluacji technologii wdrażania w oprogramowaniu</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Licencjobiorca nie może testować oprogramowania w rzeczywistym środowisku operacyjnym, o ile Microsoft nie zezwoli na to w odrębnej umowie.</w:t>
      </w:r>
    </w:p>
    <w:p w:rsidR="00DC582F" w:rsidRPr="00E35605" w:rsidRDefault="00DC582F" w:rsidP="00146601">
      <w:pPr>
        <w:pStyle w:val="Heading1"/>
        <w:tabs>
          <w:tab w:val="clear" w:pos="810"/>
          <w:tab w:val="num" w:pos="450"/>
        </w:tabs>
        <w:ind w:left="447"/>
      </w:pPr>
      <w:r>
        <w:rPr>
          <w:sz w:val="20"/>
          <w:szCs w:val="20"/>
        </w:rPr>
        <w:t>POSTANOWIENIA DOTYCZĄCE POSZCZEGÓLNYCH SKŁADNIKÓW.</w:t>
      </w:r>
    </w:p>
    <w:p w:rsidR="00781642" w:rsidRPr="00E35605" w:rsidRDefault="00781642" w:rsidP="00E02845">
      <w:pPr>
        <w:pStyle w:val="Heading2"/>
        <w:widowControl w:val="0"/>
        <w:tabs>
          <w:tab w:val="left" w:pos="5760"/>
        </w:tabs>
      </w:pPr>
      <w:r>
        <w:rPr>
          <w:rFonts w:eastAsia="SimSun"/>
          <w:sz w:val="20"/>
          <w:szCs w:val="20"/>
        </w:rPr>
        <w:t>Składniki pochodzące od osób trzecich.</w:t>
      </w:r>
      <w:r w:rsidR="007D33EC" w:rsidRPr="005F67C2">
        <w:rPr>
          <w:rFonts w:eastAsia="SimSun"/>
          <w:b w:val="0"/>
          <w:bCs w:val="0"/>
          <w:sz w:val="20"/>
          <w:szCs w:val="20"/>
        </w:rPr>
        <w:t xml:space="preserve"> </w:t>
      </w:r>
      <w:r>
        <w:rPr>
          <w:rFonts w:eastAsia="SimSun"/>
          <w:b w:val="0"/>
          <w:bCs w:val="0"/>
          <w:sz w:val="20"/>
          <w:szCs w:val="20"/>
        </w:rPr>
        <w:t>Oprogramowanie może zawierać składniki pochodzące od osób trzecich, objęte odrębnymi informacjami prawnymi lub podlegające innym umowom, zgodnie z opisem w plikach ThirdPartyNotices dołączonych do oprogramowania.</w:t>
      </w:r>
      <w:r w:rsidR="007D33EC">
        <w:rPr>
          <w:rFonts w:eastAsia="SimSun"/>
          <w:b w:val="0"/>
          <w:bCs w:val="0"/>
          <w:sz w:val="20"/>
          <w:szCs w:val="20"/>
        </w:rPr>
        <w:t xml:space="preserve"> </w:t>
      </w:r>
      <w:r>
        <w:rPr>
          <w:rFonts w:eastAsia="SimSun"/>
          <w:b w:val="0"/>
          <w:bCs w:val="0"/>
          <w:sz w:val="20"/>
          <w:szCs w:val="20"/>
        </w:rPr>
        <w:t>Nawet jeśli takie składniki podlegają innym umowom, zastosowanie mają również klauzule odrzucenia odpowiedzialności, wyjątki i wyłączenia dotyczące szkód zamieszczone poniżej.</w:t>
      </w:r>
    </w:p>
    <w:p w:rsidR="008602E2" w:rsidRPr="00FC142D" w:rsidRDefault="008602E2" w:rsidP="008602E2">
      <w:pPr>
        <w:pStyle w:val="Heading2"/>
        <w:numPr>
          <w:ilvl w:val="0"/>
          <w:numId w:val="0"/>
        </w:numPr>
        <w:ind w:left="720"/>
        <w:rPr>
          <w:sz w:val="20"/>
          <w:szCs w:val="20"/>
        </w:rPr>
      </w:pPr>
      <w:r w:rsidRPr="00FC142D">
        <w:rPr>
          <w:b w:val="0"/>
          <w:sz w:val="20"/>
          <w:szCs w:val="20"/>
        </w:rPr>
        <w:t>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w:t>
      </w:r>
      <w:r w:rsidRPr="00FC142D">
        <w:rPr>
          <w:b w:val="0"/>
          <w:bCs w:val="0"/>
          <w:sz w:val="20"/>
          <w:szCs w:val="20"/>
        </w:rPr>
        <w:t xml:space="preserve"> </w:t>
      </w:r>
      <w:r w:rsidRPr="00FC142D">
        <w:rPr>
          <w:b w:val="0"/>
          <w:sz w:val="20"/>
          <w:szCs w:val="20"/>
        </w:rPr>
        <w:t xml:space="preserve">Kopię kodu źródłowego można znaleźć na stronie </w:t>
      </w:r>
      <w:hyperlink r:id="rId9" w:history="1">
        <w:r w:rsidRPr="00FC142D">
          <w:rPr>
            <w:rStyle w:val="Hyperlink"/>
            <w:rFonts w:cs="Tahoma"/>
            <w:b w:val="0"/>
            <w:sz w:val="20"/>
            <w:szCs w:val="20"/>
          </w:rPr>
          <w:t>https://thirdpartysource.microsoft.com</w:t>
        </w:r>
      </w:hyperlink>
      <w:r w:rsidRPr="00FC142D">
        <w:rPr>
          <w:rStyle w:val="Hyperlink"/>
          <w:rFonts w:cs="Tahoma"/>
          <w:b w:val="0"/>
          <w:sz w:val="20"/>
          <w:szCs w:val="20"/>
        </w:rPr>
        <w:t>/</w:t>
      </w:r>
      <w:r w:rsidRPr="00FC142D">
        <w:rPr>
          <w:b w:val="0"/>
          <w:bCs w:val="0"/>
          <w:sz w:val="20"/>
          <w:szCs w:val="20"/>
        </w:rPr>
        <w:t>.</w:t>
      </w:r>
    </w:p>
    <w:p w:rsidR="00DC582F" w:rsidRPr="00E35605" w:rsidRDefault="00DC582F" w:rsidP="00146601">
      <w:pPr>
        <w:pStyle w:val="Heading2"/>
        <w:widowControl w:val="0"/>
        <w:tabs>
          <w:tab w:val="left" w:pos="5760"/>
        </w:tabs>
      </w:pPr>
      <w:r>
        <w:rPr>
          <w:rFonts w:eastAsia="SimSun"/>
          <w:sz w:val="20"/>
          <w:szCs w:val="20"/>
        </w:rPr>
        <w:t xml:space="preserve">Platformy Microsoft. </w:t>
      </w:r>
      <w:r>
        <w:rPr>
          <w:rFonts w:eastAsia="SimSun"/>
          <w:b w:val="0"/>
          <w:sz w:val="20"/>
          <w:szCs w:val="20"/>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bezpośrednio w katalogu instalacyjnym, to takie postanowienia mają wówczas charakter nadrzędny.</w:t>
      </w:r>
    </w:p>
    <w:p w:rsidR="00DC582F" w:rsidRPr="00E35605" w:rsidRDefault="00DC582F" w:rsidP="00146601">
      <w:pPr>
        <w:pStyle w:val="Heading2"/>
        <w:widowControl w:val="0"/>
        <w:tabs>
          <w:tab w:val="left" w:pos="5760"/>
        </w:tabs>
      </w:pPr>
      <w:r>
        <w:rPr>
          <w:rFonts w:eastAsia="SimSun"/>
          <w:sz w:val="20"/>
          <w:szCs w:val="20"/>
        </w:rPr>
        <w:t>Menedżery pakietów.</w:t>
      </w:r>
      <w:r w:rsidR="007D33EC">
        <w:rPr>
          <w:rFonts w:eastAsia="SimSun"/>
          <w:sz w:val="20"/>
          <w:szCs w:val="20"/>
        </w:rPr>
        <w:t xml:space="preserve"> </w:t>
      </w:r>
      <w:r>
        <w:rPr>
          <w:rFonts w:eastAsia="SimSun"/>
          <w:b w:val="0"/>
          <w:sz w:val="20"/>
          <w:szCs w:val="20"/>
        </w:rPr>
        <w:t>Oprogramowanie zawiera menedżery pakietów, takie jak NuGet, które dają Licencjobiorcy możliwość pobierania innych pakietów oprogramowania pochodzącego od Microsoft i osób trzecich w celu używania ich w aplikacji Licencjobiorcy. Te pakiety podlegają odnośnym licencjom, a nie niniejszej umowie. Microsoft nie rozpowszechnia żadnych pakietów osób trzecich, a także nie udziela na nie licencji ani żadnej gwarancji.</w:t>
      </w:r>
      <w:r w:rsidR="007D33EC">
        <w:rPr>
          <w:rFonts w:eastAsia="SimSun"/>
          <w:b w:val="0"/>
          <w:sz w:val="20"/>
          <w:szCs w:val="20"/>
        </w:rPr>
        <w:t xml:space="preserve"> </w:t>
      </w:r>
    </w:p>
    <w:p w:rsidR="008113AA" w:rsidRPr="00E35605" w:rsidRDefault="00031BF9" w:rsidP="00146601">
      <w:pPr>
        <w:pStyle w:val="Heading1"/>
        <w:tabs>
          <w:tab w:val="clear" w:pos="810"/>
          <w:tab w:val="num" w:pos="450"/>
        </w:tabs>
        <w:ind w:left="447"/>
      </w:pPr>
      <w:r>
        <w:rPr>
          <w:sz w:val="20"/>
          <w:szCs w:val="20"/>
        </w:rPr>
        <w:lastRenderedPageBreak/>
        <w:t>KOD DYSTRYBUCYJNY.</w:t>
      </w:r>
      <w:r w:rsidRPr="00827A7F">
        <w:rPr>
          <w:b w:val="0"/>
          <w:bCs w:val="0"/>
          <w:sz w:val="20"/>
          <w:szCs w:val="20"/>
        </w:rPr>
        <w:t xml:space="preserve"> </w:t>
      </w:r>
      <w:r>
        <w:rPr>
          <w:b w:val="0"/>
          <w:sz w:val="20"/>
          <w:szCs w:val="20"/>
        </w:rPr>
        <w:t>Licencjobiorca może rozpowszechniać w swoich aplikacjach kod zawarty w oprogramowaniu, o ile będzie przestrzegać poniższych postanowień.</w:t>
      </w:r>
      <w:r w:rsidR="007D33EC">
        <w:rPr>
          <w:b w:val="0"/>
          <w:sz w:val="20"/>
          <w:szCs w:val="20"/>
        </w:rPr>
        <w:t xml:space="preserve"> </w:t>
      </w:r>
      <w:r>
        <w:rPr>
          <w:b w:val="0"/>
          <w:sz w:val="20"/>
          <w:szCs w:val="20"/>
        </w:rPr>
        <w:t>(Na potrzeby tego punktu termin „rozpowszechnianie” obejmuje również wdrażanie aplikacji Licencjobiorcy w celu udostępnienia ich w Internecie osobom trzecim).</w:t>
      </w:r>
    </w:p>
    <w:p w:rsidR="008113AA" w:rsidRPr="00E35605" w:rsidRDefault="00146601" w:rsidP="007C22B7">
      <w:pPr>
        <w:pStyle w:val="Heading2"/>
        <w:widowControl w:val="0"/>
      </w:pPr>
      <w:r>
        <w:rPr>
          <w:rFonts w:eastAsia="SimSun"/>
          <w:bCs w:val="0"/>
          <w:sz w:val="20"/>
          <w:szCs w:val="20"/>
        </w:rPr>
        <w:t>Prawa do dystrybucji.</w:t>
      </w:r>
      <w:r w:rsidR="007D33EC">
        <w:rPr>
          <w:rFonts w:eastAsia="SimSun"/>
          <w:bCs w:val="0"/>
          <w:sz w:val="20"/>
          <w:szCs w:val="20"/>
        </w:rPr>
        <w:t xml:space="preserve"> </w:t>
      </w:r>
      <w:r>
        <w:rPr>
          <w:rStyle w:val="Body3Char"/>
          <w:rFonts w:eastAsia="SimSun"/>
          <w:b w:val="0"/>
          <w:sz w:val="20"/>
          <w:szCs w:val="20"/>
        </w:rPr>
        <w:t>Kod i pliki tekstowe wymienione poniżej są „</w:t>
      </w:r>
      <w:r>
        <w:rPr>
          <w:rStyle w:val="Body3Char"/>
          <w:rFonts w:eastAsia="SimSun"/>
          <w:sz w:val="20"/>
          <w:szCs w:val="20"/>
        </w:rPr>
        <w:t>Kodem Dystrybucyjnym</w:t>
      </w:r>
      <w:r>
        <w:rPr>
          <w:rStyle w:val="Body3Char"/>
          <w:rFonts w:eastAsia="SimSun"/>
          <w:b w:val="0"/>
          <w:sz w:val="20"/>
          <w:szCs w:val="20"/>
        </w:rPr>
        <w:t>”.</w:t>
      </w:r>
    </w:p>
    <w:p w:rsidR="00167678" w:rsidRPr="00E35605" w:rsidRDefault="00167678" w:rsidP="007424B2">
      <w:pPr>
        <w:pStyle w:val="Bullet4Underlined"/>
        <w:widowControl w:val="0"/>
        <w:numPr>
          <w:ilvl w:val="0"/>
          <w:numId w:val="4"/>
        </w:numPr>
        <w:tabs>
          <w:tab w:val="num" w:pos="1080"/>
        </w:tabs>
        <w:ind w:left="1080" w:hanging="360"/>
      </w:pPr>
      <w:r>
        <w:rPr>
          <w:rFonts w:eastAsia="SimSun"/>
          <w:sz w:val="20"/>
          <w:szCs w:val="20"/>
        </w:rPr>
        <w:t>Pliki REDIST.TXT</w:t>
      </w:r>
      <w:r>
        <w:rPr>
          <w:rFonts w:eastAsia="SimSun"/>
          <w:sz w:val="20"/>
          <w:szCs w:val="20"/>
          <w:u w:val="none"/>
        </w:rPr>
        <w:t xml:space="preserve">. Licencjobiorca może kopiować i rozpowszechniać w postaci kodu wynikowego kod wyszczególniony na liście REDIST dostępnej pod adresem </w:t>
      </w:r>
      <w:hyperlink r:id="rId10" w:history="1">
        <w:r>
          <w:rPr>
            <w:rStyle w:val="Hyperlink"/>
            <w:rFonts w:cs="Tahoma"/>
            <w:sz w:val="20"/>
            <w:szCs w:val="20"/>
          </w:rPr>
          <w:t>https://go.microsoft.com/fwlink/?LinkId=823098</w:t>
        </w:r>
      </w:hyperlink>
      <w:r>
        <w:rPr>
          <w:rFonts w:eastAsia="SimSun"/>
          <w:sz w:val="20"/>
          <w:szCs w:val="20"/>
          <w:u w:val="none"/>
        </w:rPr>
        <w:t>.</w:t>
      </w:r>
    </w:p>
    <w:p w:rsidR="006C30E2" w:rsidRPr="00E35605" w:rsidRDefault="00E25FF6" w:rsidP="007424B2">
      <w:pPr>
        <w:pStyle w:val="Bullet4Underlined"/>
        <w:widowControl w:val="0"/>
        <w:numPr>
          <w:ilvl w:val="0"/>
          <w:numId w:val="4"/>
        </w:numPr>
        <w:tabs>
          <w:tab w:val="num" w:pos="1080"/>
        </w:tabs>
        <w:ind w:left="1080" w:hanging="360"/>
      </w:pPr>
      <w:r>
        <w:rPr>
          <w:sz w:val="20"/>
          <w:szCs w:val="20"/>
        </w:rPr>
        <w:t>Przykładowy kod, szablony i style</w:t>
      </w:r>
      <w:r>
        <w:rPr>
          <w:sz w:val="20"/>
          <w:szCs w:val="20"/>
          <w:u w:val="none"/>
        </w:rPr>
        <w:t xml:space="preserve">. Licencjobiorca może kopiować, modyfikować i rozpowszechniać w postaci kodu źródłowego i wynikowego kod oznaczony jako „sample”, „template”, „simple styles” lub „sketch styles”. </w:t>
      </w:r>
    </w:p>
    <w:p w:rsidR="008113AA" w:rsidRPr="00E35605" w:rsidRDefault="009A7A15" w:rsidP="007C22B7">
      <w:pPr>
        <w:pStyle w:val="Bullet4Underline"/>
        <w:widowControl w:val="0"/>
        <w:tabs>
          <w:tab w:val="num" w:pos="720"/>
        </w:tabs>
        <w:ind w:left="1080" w:hanging="360"/>
      </w:pPr>
      <w:r>
        <w:rPr>
          <w:rFonts w:eastAsia="SimSun"/>
          <w:sz w:val="20"/>
          <w:szCs w:val="20"/>
        </w:rPr>
        <w:t>Rozpowszechnianie przez osoby trzecie.</w:t>
      </w:r>
      <w:r>
        <w:rPr>
          <w:rFonts w:eastAsia="SimSun"/>
          <w:sz w:val="20"/>
          <w:szCs w:val="20"/>
          <w:u w:val="none"/>
        </w:rPr>
        <w:t xml:space="preserve"> Licencjobiorca może zezwolić dystrybutorom swoich aplikacji na kopiowanie i rozpowszechnianie Kodu Dystrybucyjnego jako części tych aplikacji.</w:t>
      </w:r>
    </w:p>
    <w:p w:rsidR="008113AA" w:rsidRPr="00E35605" w:rsidRDefault="009A7A15">
      <w:pPr>
        <w:pStyle w:val="Heading3Bold"/>
        <w:widowControl w:val="0"/>
        <w:tabs>
          <w:tab w:val="clear" w:pos="1440"/>
          <w:tab w:val="num" w:pos="1077"/>
        </w:tabs>
      </w:pPr>
      <w:r>
        <w:rPr>
          <w:rFonts w:eastAsia="SimSun"/>
          <w:sz w:val="20"/>
          <w:szCs w:val="20"/>
        </w:rPr>
        <w:t>Wymagania dotyczące rozpowszechniania.</w:t>
      </w:r>
      <w:r>
        <w:rPr>
          <w:rStyle w:val="Body3Char"/>
          <w:rFonts w:eastAsia="SimSun"/>
          <w:sz w:val="20"/>
          <w:szCs w:val="20"/>
        </w:rPr>
        <w:t xml:space="preserve"> </w:t>
      </w:r>
      <w:r>
        <w:rPr>
          <w:rStyle w:val="Body3Char"/>
          <w:rFonts w:eastAsia="SimSun"/>
          <w:b w:val="0"/>
          <w:sz w:val="20"/>
          <w:szCs w:val="20"/>
        </w:rPr>
        <w:t>W przypadku każdego rozpowszechnianego przez siebie Kodu Dystrybucyjnego Licencjobiorca musi:</w:t>
      </w:r>
    </w:p>
    <w:p w:rsidR="008113AA" w:rsidRPr="00E35605" w:rsidRDefault="009A7A15">
      <w:pPr>
        <w:pStyle w:val="Bullet4"/>
        <w:widowControl w:val="0"/>
      </w:pPr>
      <w:r>
        <w:rPr>
          <w:rFonts w:eastAsia="SimSun"/>
          <w:sz w:val="20"/>
          <w:szCs w:val="20"/>
        </w:rPr>
        <w:t>dodawać do niego w swoich aplikacjach znaczące i podstawowe funkcje;</w:t>
      </w:r>
    </w:p>
    <w:p w:rsidR="008113AA" w:rsidRPr="00E35605" w:rsidRDefault="009A7A15">
      <w:pPr>
        <w:pStyle w:val="Bullet4"/>
        <w:widowControl w:val="0"/>
      </w:pPr>
      <w:r>
        <w:rPr>
          <w:rFonts w:eastAsia="SimSun"/>
          <w:sz w:val="20"/>
          <w:szCs w:val="20"/>
        </w:rPr>
        <w:t>wymagać od dystrybutorów oraz zewnętrznych użytkowników końcowych akceptacji postanowień chroniących Kod Dystrybucyjny w stopniu co najmniej równym ochronie zapewnionej na mocy niniejszych postanowień licencyjnych; oraz</w:t>
      </w:r>
    </w:p>
    <w:p w:rsidR="008113AA" w:rsidRPr="00E35605" w:rsidRDefault="009A7A15">
      <w:pPr>
        <w:pStyle w:val="Bullet4"/>
        <w:widowControl w:val="0"/>
      </w:pPr>
      <w:r>
        <w:rPr>
          <w:rFonts w:eastAsia="SimSun"/>
          <w:sz w:val="20"/>
          <w:szCs w:val="20"/>
        </w:rP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rsidR="008113AA" w:rsidRPr="00E35605" w:rsidRDefault="009A7A15">
      <w:pPr>
        <w:pStyle w:val="Heading3Bold"/>
        <w:widowControl w:val="0"/>
        <w:tabs>
          <w:tab w:val="clear" w:pos="1440"/>
          <w:tab w:val="num" w:pos="1077"/>
        </w:tabs>
      </w:pPr>
      <w:r>
        <w:rPr>
          <w:rFonts w:eastAsia="SimSun"/>
          <w:sz w:val="20"/>
          <w:szCs w:val="20"/>
        </w:rPr>
        <w:t>Ograniczenia dotyczące rozpowszechniania.</w:t>
      </w:r>
      <w:r>
        <w:rPr>
          <w:rStyle w:val="Body3Char"/>
          <w:rFonts w:eastAsia="SimSun"/>
          <w:sz w:val="20"/>
          <w:szCs w:val="20"/>
        </w:rPr>
        <w:t xml:space="preserve"> Licencjobiorca nie może:</w:t>
      </w:r>
    </w:p>
    <w:p w:rsidR="008113AA" w:rsidRPr="00E35605" w:rsidRDefault="009A7A15">
      <w:pPr>
        <w:pStyle w:val="Bullet4"/>
        <w:widowControl w:val="0"/>
      </w:pPr>
      <w:r>
        <w:rPr>
          <w:rFonts w:eastAsia="SimSun"/>
          <w:sz w:val="20"/>
          <w:szCs w:val="20"/>
        </w:rPr>
        <w:t xml:space="preserve">używać znaków towarowych Microsoft w nazwach swoich aplikacji lub w sposób sugerujący, że aplikacje Licencjobiorcy zostały wyprodukowane przez Microsoft lub są przez Microsoft promowane; lub </w:t>
      </w:r>
    </w:p>
    <w:p w:rsidR="008113AA" w:rsidRPr="00E35605" w:rsidRDefault="009A7A15" w:rsidP="00F72057">
      <w:pPr>
        <w:pStyle w:val="Bullet4"/>
        <w:widowControl w:val="0"/>
      </w:pPr>
      <w:r>
        <w:rPr>
          <w:rFonts w:eastAsia="SimSun"/>
          <w:sz w:val="20"/>
          <w:szCs w:val="20"/>
        </w:rPr>
        <w:t>modyfikować ani rozpowszechniać kodu źródłowego żadnego Kodu Dystrybucyjnego w taki sposób, aby jakakolwiek jego część podlegała Licencji Wyłączającej. Licencja Wyłączająca to licencja, w której przypadku używanie, modyfikowanie lub rozpowszechnianie wymaga, aby (i) kod był jawny lub rozpowszechniany w postaci kodu źródłowego; lub (ii) inne osoby były uprawnione do modyfikowania takiego kodu.</w:t>
      </w:r>
    </w:p>
    <w:p w:rsidR="0009229E" w:rsidRPr="00E91B66" w:rsidRDefault="0065335A" w:rsidP="00A920A1">
      <w:pPr>
        <w:pStyle w:val="Heading1"/>
        <w:tabs>
          <w:tab w:val="clear" w:pos="810"/>
          <w:tab w:val="num" w:pos="450"/>
        </w:tabs>
        <w:ind w:left="447"/>
        <w:rPr>
          <w:sz w:val="20"/>
          <w:szCs w:val="20"/>
        </w:rPr>
      </w:pPr>
      <w:r w:rsidRPr="00E91B66">
        <w:rPr>
          <w:sz w:val="20"/>
          <w:szCs w:val="20"/>
        </w:rPr>
        <w:t>DANE</w:t>
      </w:r>
      <w:r w:rsidRPr="00E91B66">
        <w:rPr>
          <w:bCs w:val="0"/>
          <w:sz w:val="20"/>
          <w:szCs w:val="20"/>
        </w:rPr>
        <w:t>.</w:t>
      </w:r>
      <w:r w:rsidRPr="00E91B66">
        <w:rPr>
          <w:b w:val="0"/>
          <w:sz w:val="20"/>
          <w:szCs w:val="20"/>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w:t>
      </w:r>
      <w:r w:rsidR="007D33EC" w:rsidRPr="00E91B66">
        <w:rPr>
          <w:b w:val="0"/>
          <w:sz w:val="20"/>
          <w:szCs w:val="20"/>
        </w:rPr>
        <w:t xml:space="preserve"> </w:t>
      </w:r>
      <w:r w:rsidRPr="00E91B66">
        <w:rPr>
          <w:b w:val="0"/>
          <w:sz w:val="20"/>
          <w:szCs w:val="20"/>
        </w:rPr>
        <w:t>Licencjobiorca może zrezygnować z wielu scenariuszy (ale nie wszystkich), jak opisano w dokumentacji produktu.</w:t>
      </w:r>
      <w:r w:rsidR="007D33EC" w:rsidRPr="00E91B66">
        <w:rPr>
          <w:b w:val="0"/>
          <w:sz w:val="20"/>
          <w:szCs w:val="20"/>
        </w:rPr>
        <w:t xml:space="preserve"> </w:t>
      </w:r>
      <w:r w:rsidRPr="00E91B66">
        <w:rPr>
          <w:b w:val="0"/>
          <w:sz w:val="20"/>
          <w:szCs w:val="20"/>
        </w:rPr>
        <w:t>O</w:t>
      </w:r>
      <w:r w:rsidRPr="00E91B66">
        <w:rPr>
          <w:b w:val="0"/>
          <w:color w:val="000000"/>
          <w:sz w:val="20"/>
          <w:szCs w:val="20"/>
        </w:rPr>
        <w:t>kreślone funkcje oprogramowania mogą umożliwiać Licencjobiorcy i Microsoft zbieranie danych od użytkowników aplikacji Licencjobiorcy</w:t>
      </w:r>
      <w:r w:rsidRPr="00E91B66">
        <w:rPr>
          <w:b w:val="0"/>
          <w:sz w:val="20"/>
          <w:szCs w:val="20"/>
        </w:rPr>
        <w:t xml:space="preserve">. Jeśli Licencjobiorca używa tych funkcji, musi przestrzegać przepisów prawa właściwego, w tym stosownie powiadamiać użytkowników aplikacji Licencjobiorcy o tych działaniach </w:t>
      </w:r>
      <w:r w:rsidRPr="00E91B66">
        <w:rPr>
          <w:rFonts w:eastAsia="SimSun"/>
          <w:b w:val="0"/>
          <w:sz w:val="20"/>
          <w:szCs w:val="20"/>
        </w:rPr>
        <w:t xml:space="preserve">oraz udostępnić im kopię przyjętego przez Microsoft oświadczenia o ochronie prywatności. Oświadczenie to można znaleźć pod adresem </w:t>
      </w:r>
      <w:hyperlink r:id="rId11" w:history="1">
        <w:r w:rsidRPr="00E91B66">
          <w:rPr>
            <w:rStyle w:val="Hyperlink"/>
            <w:rFonts w:cs="Tahoma"/>
            <w:b w:val="0"/>
            <w:sz w:val="20"/>
            <w:szCs w:val="20"/>
          </w:rPr>
          <w:t>https://go.microsoft.com/fwlink/?LinkID=824704</w:t>
        </w:r>
      </w:hyperlink>
      <w:r w:rsidRPr="00E91B66">
        <w:rPr>
          <w:b w:val="0"/>
          <w:sz w:val="20"/>
          <w:szCs w:val="20"/>
        </w:rPr>
        <w:t>. Więcej informacji na temat zbierania i używania danych można znaleźć w dokumentacji pomocy i oświadczeniu Microsoft o ochronie prywatności. Używanie przez Licencjobiorcę oprogramowania oznacza zgodę Licencjobiorcy na takie działania.</w:t>
      </w:r>
    </w:p>
    <w:p w:rsidR="00AB465B" w:rsidRPr="00E35605" w:rsidRDefault="00AB465B" w:rsidP="00560275">
      <w:pPr>
        <w:pStyle w:val="Heading1"/>
        <w:tabs>
          <w:tab w:val="clear" w:pos="810"/>
          <w:tab w:val="num" w:pos="450"/>
        </w:tabs>
        <w:ind w:left="447"/>
      </w:pPr>
      <w:r>
        <w:rPr>
          <w:sz w:val="20"/>
          <w:szCs w:val="20"/>
        </w:rPr>
        <w:t>OPROGRAMOWANIE UWARUNKOWANE CZASOWO.</w:t>
      </w:r>
    </w:p>
    <w:p w:rsidR="00AB465B" w:rsidRPr="00E35605" w:rsidRDefault="00AB465B" w:rsidP="00560275">
      <w:pPr>
        <w:pStyle w:val="Heading2"/>
        <w:numPr>
          <w:ilvl w:val="0"/>
          <w:numId w:val="15"/>
        </w:numPr>
      </w:pPr>
      <w:r>
        <w:rPr>
          <w:sz w:val="20"/>
          <w:szCs w:val="20"/>
        </w:rPr>
        <w:lastRenderedPageBreak/>
        <w:t xml:space="preserve">Okres. </w:t>
      </w:r>
      <w:r>
        <w:rPr>
          <w:b w:val="0"/>
          <w:sz w:val="20"/>
          <w:szCs w:val="20"/>
        </w:rPr>
        <w:t>Niniejsza umowa wchodzi w życie w dniu jej zaakceptowania przez Licencjobiorcę i przestanie obowiązywać we wcześniejszym z następujących terminów: po (i) 30 dniach od wprowadzenia na rynek komercyjnej wersji oprogramowania albo (ii) po jej wypowiedzeniu przez Microsoft. Microsoft może przedłużyć niniejszą umowę według własnego uznania.</w:t>
      </w:r>
    </w:p>
    <w:p w:rsidR="00AB465B" w:rsidRPr="00E35605" w:rsidRDefault="00AB465B" w:rsidP="00560275">
      <w:pPr>
        <w:pStyle w:val="Heading2"/>
        <w:numPr>
          <w:ilvl w:val="0"/>
          <w:numId w:val="15"/>
        </w:numPr>
      </w:pPr>
      <w:r>
        <w:rPr>
          <w:sz w:val="20"/>
          <w:szCs w:val="20"/>
        </w:rPr>
        <w:t xml:space="preserve">Powiadomienie. </w:t>
      </w:r>
      <w:r>
        <w:rPr>
          <w:b w:val="0"/>
          <w:sz w:val="20"/>
          <w:szCs w:val="20"/>
        </w:rPr>
        <w:t>Co pewien czas oprogramowanie może wyświetlać powiadomienia z przypomnieniem o dacie wygaśnięcia.</w:t>
      </w:r>
    </w:p>
    <w:p w:rsidR="00AB465B" w:rsidRPr="00E35605" w:rsidRDefault="00AB465B" w:rsidP="00560275">
      <w:pPr>
        <w:pStyle w:val="Heading2"/>
        <w:numPr>
          <w:ilvl w:val="0"/>
          <w:numId w:val="15"/>
        </w:numPr>
      </w:pPr>
      <w:r>
        <w:rPr>
          <w:sz w:val="20"/>
          <w:szCs w:val="20"/>
        </w:rPr>
        <w:t xml:space="preserve">Dostęp do danych. </w:t>
      </w:r>
      <w:r>
        <w:rPr>
          <w:b w:val="0"/>
          <w:sz w:val="20"/>
          <w:szCs w:val="20"/>
        </w:rPr>
        <w:t>Kiedy oprogramowanie przestanie działać, Licencjobiorca może nie mieć dostępu do danych używanych przez to oprogramowanie.</w:t>
      </w:r>
    </w:p>
    <w:p w:rsidR="00AB465B" w:rsidRPr="00E35605" w:rsidRDefault="00AB465B" w:rsidP="00AB465B">
      <w:pPr>
        <w:pStyle w:val="Heading1"/>
        <w:tabs>
          <w:tab w:val="clear" w:pos="810"/>
          <w:tab w:val="num" w:pos="360"/>
        </w:tabs>
        <w:spacing w:before="0" w:after="160"/>
        <w:ind w:left="360" w:hanging="360"/>
      </w:pPr>
      <w:r>
        <w:rPr>
          <w:sz w:val="20"/>
          <w:szCs w:val="20"/>
        </w:rPr>
        <w:t xml:space="preserve">OPROGRAMOWANIE W WERSJI WSTĘPNEJ. </w:t>
      </w:r>
      <w:r>
        <w:rPr>
          <w:b w:val="0"/>
          <w:sz w:val="20"/>
          <w:szCs w:val="20"/>
        </w:rPr>
        <w:t>Niniejsze oprogramowanie jest w wersji wstępnej. Może zatem nie działać poprawnie lub działać inaczej niż ostateczna jego wersja. Microsoft może zamienić wersję wstępną na ostateczną wersję komercyjną. Microsoft nie ma obowiązku świadczyć na rzecz Licencjobiorcy usług konserwacji, pomocy technicznej ani aktualizacji w związku z oprogramowaniem.</w:t>
      </w:r>
    </w:p>
    <w:p w:rsidR="00AB465B" w:rsidRPr="00E35605" w:rsidRDefault="00AB465B" w:rsidP="00AB465B">
      <w:pPr>
        <w:pStyle w:val="Heading1"/>
        <w:tabs>
          <w:tab w:val="clear" w:pos="810"/>
          <w:tab w:val="num" w:pos="360"/>
        </w:tabs>
        <w:spacing w:before="0" w:after="160"/>
        <w:ind w:left="360" w:hanging="360"/>
      </w:pPr>
      <w:r>
        <w:rPr>
          <w:sz w:val="20"/>
          <w:szCs w:val="20"/>
        </w:rPr>
        <w:t xml:space="preserve">UWAGI NA TEMAT PRODUKTU. </w:t>
      </w:r>
      <w:r>
        <w:rPr>
          <w:b w:val="0"/>
          <w:sz w:val="20"/>
          <w:szCs w:val="20"/>
        </w:rPr>
        <w:t>Podzielenie się z Microsoft uwagami na temat oprogramowania jest równoznaczne z nieodpłatnym udzieleniem Microsoft prawa do używania, udostępniania oraz komercjalizacji tych uwag w dowolny sposób oraz w dowolnym celu. Licencjobiorca nie będzie przekazywać uwag, które byłyby objęte licencją, na mocy której Microsoft zmuszony byłby do udzielania osobom trzecim licencji na swoje oprogramowanie lub dokumentację z powodu włączenia do nich takich uwag. Prawa te pozostają w mocy po wygaśnięciu niniejszej umowy.</w:t>
      </w:r>
    </w:p>
    <w:p w:rsidR="008113AA" w:rsidRPr="00E35605" w:rsidRDefault="009A7A15" w:rsidP="0079095C">
      <w:pPr>
        <w:pStyle w:val="Heading1"/>
        <w:tabs>
          <w:tab w:val="clear" w:pos="810"/>
          <w:tab w:val="num" w:pos="360"/>
        </w:tabs>
        <w:spacing w:before="0" w:after="160"/>
        <w:ind w:left="360" w:hanging="360"/>
      </w:pPr>
      <w:r>
        <w:rPr>
          <w:sz w:val="20"/>
          <w:szCs w:val="20"/>
        </w:rPr>
        <w:t xml:space="preserve">ZAKRES LICENCJI. </w:t>
      </w:r>
      <w:r>
        <w:rPr>
          <w:b w:val="0"/>
          <w:sz w:val="20"/>
          <w:szCs w:val="2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Na przykład, Microsoft technicznie ograniczył lub wyłączył możliwość rozszerzenia oprogramowania, w związku z tym Licencjobiorca nie będzie mieć możliwości rozszerzenia oprogramowania przez m.in. ładowanie lub wprowadzanie do oprogramowania dodatków, makr lub pakietów niepochodzących od Microsoft lub przez modyfikowanie ustawień rejestru oprogramowania lub dodawanie funkcji czy funkcjonalności odpowiadających funkcjom oferowanych przez inne produkty pakietu Visual Studio.</w:t>
      </w:r>
    </w:p>
    <w:p w:rsidR="00E94B45" w:rsidRPr="00E35605" w:rsidRDefault="00F371B9" w:rsidP="0079095C">
      <w:pPr>
        <w:pStyle w:val="Heading1"/>
        <w:widowControl w:val="0"/>
        <w:numPr>
          <w:ilvl w:val="0"/>
          <w:numId w:val="0"/>
        </w:numPr>
        <w:ind w:firstLine="360"/>
      </w:pPr>
      <w:r>
        <w:rPr>
          <w:rFonts w:eastAsia="SimSun"/>
          <w:b w:val="0"/>
          <w:sz w:val="20"/>
          <w:szCs w:val="20"/>
        </w:rPr>
        <w:t>Licencjobiorca nie może także</w:t>
      </w:r>
    </w:p>
    <w:p w:rsidR="008113AA" w:rsidRPr="00E35605" w:rsidRDefault="00F72057">
      <w:pPr>
        <w:pStyle w:val="Bullet2"/>
        <w:widowControl w:val="0"/>
      </w:pPr>
      <w:r>
        <w:rPr>
          <w:rFonts w:eastAsia="SimSun"/>
          <w:sz w:val="20"/>
          <w:szCs w:val="20"/>
        </w:rPr>
        <w:t>omijać żadnych ograniczeń technicznych oprogramowania;</w:t>
      </w:r>
    </w:p>
    <w:p w:rsidR="008113AA" w:rsidRPr="00E35605" w:rsidRDefault="009A7A15">
      <w:pPr>
        <w:pStyle w:val="Bullet2"/>
        <w:widowControl w:val="0"/>
      </w:pPr>
      <w:r>
        <w:rPr>
          <w:rFonts w:eastAsia="SimSun"/>
          <w:sz w:val="20"/>
          <w:szCs w:val="20"/>
        </w:rPr>
        <w:t xml:space="preserve">odtwarzać, dekompilować ani dezasemblować oprogramowania, ani w inny sposób podejmować prób pozyskania kodu źródłowego z oprogramowania, chyba że w przypadku i tylko w takim zakresie, w jakim jest to </w:t>
      </w:r>
      <w:r>
        <w:rPr>
          <w:sz w:val="20"/>
          <w:szCs w:val="20"/>
        </w:rPr>
        <w:t>wymagane na mocy ustanowionych przez osoby trzecie postanowień licencyjnych mających zastosowanie do używania określonych składników podlegających licencji open source, które mogą być dołączone do oprogramowania;</w:t>
      </w:r>
    </w:p>
    <w:p w:rsidR="00F72057" w:rsidRPr="00E35605" w:rsidRDefault="00F72057">
      <w:pPr>
        <w:pStyle w:val="Bullet2"/>
        <w:widowControl w:val="0"/>
      </w:pPr>
      <w:r>
        <w:rPr>
          <w:sz w:val="20"/>
          <w:szCs w:val="20"/>
        </w:rPr>
        <w:t>usuwać, minimalizować, blokować ani modyfikować żadnych powiadomień Microsoft ani dostawców Microsoft umieszczonych w oprogramowaniu;</w:t>
      </w:r>
    </w:p>
    <w:p w:rsidR="00F72057" w:rsidRPr="00E35605" w:rsidRDefault="00F72057">
      <w:pPr>
        <w:pStyle w:val="Bullet2"/>
        <w:widowControl w:val="0"/>
      </w:pPr>
      <w:r>
        <w:rPr>
          <w:sz w:val="20"/>
          <w:szCs w:val="20"/>
        </w:rPr>
        <w:t>używać oprogramowania w sposób niezgodny z prawem lub</w:t>
      </w:r>
    </w:p>
    <w:p w:rsidR="005D6CBC" w:rsidRPr="00E35605" w:rsidRDefault="00FE67BA">
      <w:pPr>
        <w:pStyle w:val="Bullet2"/>
        <w:widowControl w:val="0"/>
      </w:pPr>
      <w:r>
        <w:rPr>
          <w:rFonts w:eastAsia="SimSun"/>
          <w:sz w:val="20"/>
          <w:szCs w:val="20"/>
        </w:rPr>
        <w:t>udostępniać, publikować ani wynajmować oprogramowania, dostarczać go w postaci samodzielnego hostowanego rozwiązania w celu używania go przez inne osoby ani przenosić tego oprogramowania lub niniejszej umowy na osobę trzecią.</w:t>
      </w:r>
    </w:p>
    <w:p w:rsidR="003807C8" w:rsidRPr="00E35605" w:rsidRDefault="003807C8" w:rsidP="0079095C">
      <w:pPr>
        <w:pStyle w:val="Heading1"/>
        <w:tabs>
          <w:tab w:val="clear" w:pos="810"/>
          <w:tab w:val="num" w:pos="360"/>
        </w:tabs>
        <w:spacing w:before="0" w:after="160"/>
        <w:ind w:left="360" w:hanging="360"/>
      </w:pPr>
      <w:r>
        <w:rPr>
          <w:sz w:val="20"/>
          <w:szCs w:val="20"/>
        </w:rPr>
        <w:lastRenderedPageBreak/>
        <w:t xml:space="preserve">USŁUGI POMOCY TECHNICZNEJ. </w:t>
      </w:r>
      <w:r>
        <w:rPr>
          <w:b w:val="0"/>
          <w:sz w:val="20"/>
          <w:szCs w:val="20"/>
        </w:rPr>
        <w:t>Niniejsze oprogramowanie jest udostępniane Licencjobiorcy w stanie „takim, w jakim jest”, w związku z czym Microsoft może nie świadczyć związanych z tym oprogramowaniem usług pomocy technicznej.</w:t>
      </w:r>
    </w:p>
    <w:p w:rsidR="003807C8" w:rsidRPr="00E35605" w:rsidRDefault="003807C8" w:rsidP="0079095C">
      <w:pPr>
        <w:pStyle w:val="Heading1"/>
        <w:tabs>
          <w:tab w:val="clear" w:pos="810"/>
          <w:tab w:val="num" w:pos="360"/>
        </w:tabs>
        <w:spacing w:before="0" w:after="160"/>
        <w:ind w:left="360" w:hanging="360"/>
      </w:pPr>
      <w:r>
        <w:rPr>
          <w:sz w:val="20"/>
          <w:szCs w:val="20"/>
        </w:rPr>
        <w:t xml:space="preserve">CAŁOŚĆ UMOWY. </w:t>
      </w:r>
      <w:r>
        <w:rPr>
          <w:b w:val="0"/>
          <w:sz w:val="20"/>
          <w:szCs w:val="20"/>
        </w:rPr>
        <w:t>Niniejsza umowa wraz ze wszystkimi postanowieniami dotyczącymi uzupełnień, aktualizacji, usług internetowych i usług pomocy technicznej, z których korzysta Licencjobiorca, stanowią całość umowy dotyczącej oprogramowania i usług pomocy technicznej.</w:t>
      </w:r>
    </w:p>
    <w:p w:rsidR="008113AA" w:rsidRPr="0097053B" w:rsidRDefault="009A7A15" w:rsidP="0079095C">
      <w:pPr>
        <w:pStyle w:val="Heading1"/>
        <w:tabs>
          <w:tab w:val="clear" w:pos="810"/>
          <w:tab w:val="num" w:pos="360"/>
        </w:tabs>
        <w:spacing w:before="0" w:after="160"/>
        <w:ind w:left="360" w:hanging="360"/>
        <w:rPr>
          <w:sz w:val="20"/>
          <w:szCs w:val="20"/>
        </w:rPr>
      </w:pPr>
      <w:r w:rsidRPr="0097053B">
        <w:rPr>
          <w:sz w:val="20"/>
          <w:szCs w:val="20"/>
        </w:rPr>
        <w:t xml:space="preserve">OGRANICZENIA EKSPORTOWE. </w:t>
      </w:r>
      <w:r w:rsidRPr="0097053B">
        <w:rPr>
          <w:b w:val="0"/>
          <w:sz w:val="20"/>
          <w:szCs w:val="2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w:history="1">
        <w:r w:rsidRPr="0097053B">
          <w:rPr>
            <w:rStyle w:val="Hyperlink"/>
            <w:rFonts w:eastAsia="SimSun" w:cs="Tahoma"/>
            <w:b w:val="0"/>
            <w:bCs w:val="0"/>
            <w:sz w:val="20"/>
            <w:szCs w:val="20"/>
          </w:rPr>
          <w:t>www.microsoft.com/exporting</w:t>
        </w:r>
      </w:hyperlink>
      <w:r w:rsidRPr="0097053B">
        <w:rPr>
          <w:rFonts w:eastAsia="SimSun"/>
          <w:b w:val="0"/>
          <w:bCs w:val="0"/>
          <w:sz w:val="20"/>
          <w:szCs w:val="20"/>
        </w:rPr>
        <w:t>.</w:t>
      </w:r>
    </w:p>
    <w:p w:rsidR="008113AA" w:rsidRPr="00E35605" w:rsidRDefault="009A7A15">
      <w:pPr>
        <w:pStyle w:val="Heading1"/>
        <w:widowControl w:val="0"/>
        <w:ind w:left="360" w:hanging="360"/>
      </w:pPr>
      <w:r>
        <w:rPr>
          <w:rFonts w:eastAsia="SimSun"/>
          <w:caps/>
          <w:sz w:val="20"/>
          <w:szCs w:val="20"/>
        </w:rPr>
        <w:t>Prawo właściwe</w:t>
      </w:r>
      <w:r>
        <w:rPr>
          <w:rFonts w:eastAsia="SimSun"/>
          <w:sz w:val="20"/>
          <w:szCs w:val="20"/>
        </w:rPr>
        <w:t>.</w:t>
      </w:r>
      <w:r>
        <w:rPr>
          <w:rFonts w:eastAsia="SimSun"/>
          <w:b w:val="0"/>
          <w:bCs w:val="0"/>
          <w:sz w:val="20"/>
          <w:szCs w:val="20"/>
        </w:rPr>
        <w:t xml:space="preserve"> 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853C20" w:rsidRPr="00E35605" w:rsidRDefault="00853C20" w:rsidP="0079095C">
      <w:pPr>
        <w:pStyle w:val="Heading1"/>
        <w:widowControl w:val="0"/>
        <w:ind w:left="360" w:hanging="360"/>
      </w:pPr>
      <w:r>
        <w:rPr>
          <w:sz w:val="20"/>
          <w:szCs w:val="20"/>
        </w:rPr>
        <w:t xml:space="preserve">PRAWA KONSUMENTA — RÓŻNICE REGIONALNE. </w:t>
      </w:r>
      <w:r>
        <w:rPr>
          <w:b w:val="0"/>
          <w:sz w:val="20"/>
          <w:szCs w:val="2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853C20" w:rsidRPr="00E35605" w:rsidRDefault="00853C20" w:rsidP="00560275">
      <w:pPr>
        <w:pStyle w:val="Heading2"/>
        <w:numPr>
          <w:ilvl w:val="0"/>
          <w:numId w:val="13"/>
        </w:numPr>
      </w:pPr>
      <w:r>
        <w:rPr>
          <w:sz w:val="20"/>
          <w:szCs w:val="20"/>
        </w:rPr>
        <w:t xml:space="preserve">Australia. </w:t>
      </w:r>
      <w:r>
        <w:rPr>
          <w:b w:val="0"/>
          <w:sz w:val="20"/>
          <w:szCs w:val="20"/>
        </w:rPr>
        <w:t>Australijska ustawa o ochronie konsumentów (ang. Australian Consumer Law) przyznaje Licencjobiorcy określone gwarancje i żadne z zawartych w tej umowie postanowień nie ma na celu ograniczenia tych uprawnień.</w:t>
      </w:r>
    </w:p>
    <w:p w:rsidR="00853C20" w:rsidRPr="00E35605" w:rsidRDefault="00853C20" w:rsidP="00560275">
      <w:pPr>
        <w:pStyle w:val="Heading2"/>
        <w:numPr>
          <w:ilvl w:val="0"/>
          <w:numId w:val="13"/>
        </w:numPr>
      </w:pPr>
      <w:r>
        <w:rPr>
          <w:sz w:val="20"/>
          <w:szCs w:val="20"/>
        </w:rPr>
        <w:t xml:space="preserve">Kanada. </w:t>
      </w:r>
      <w:r>
        <w:rPr>
          <w:b w:val="0"/>
          <w:sz w:val="20"/>
          <w:szCs w:val="2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853C20" w:rsidRPr="00E35605" w:rsidRDefault="00853C20" w:rsidP="00560275">
      <w:pPr>
        <w:pStyle w:val="Heading2"/>
        <w:numPr>
          <w:ilvl w:val="0"/>
          <w:numId w:val="13"/>
        </w:numPr>
      </w:pPr>
      <w:r>
        <w:rPr>
          <w:sz w:val="20"/>
          <w:szCs w:val="20"/>
        </w:rPr>
        <w:t>Niemcy i Austria</w:t>
      </w:r>
      <w:r w:rsidRPr="00E8344F">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Rękojmie i gwarancje</w:t>
      </w:r>
      <w:r w:rsidRPr="00563B9F">
        <w:rPr>
          <w:b/>
          <w:bCs/>
          <w:sz w:val="20"/>
          <w:szCs w:val="20"/>
        </w:rPr>
        <w:t>.</w:t>
      </w:r>
      <w:r>
        <w:rPr>
          <w:sz w:val="20"/>
          <w:szCs w:val="20"/>
        </w:rPr>
        <w:t xml:space="preserve">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853C20" w:rsidRPr="00E35605" w:rsidRDefault="00853C20" w:rsidP="00853C20">
      <w:pPr>
        <w:ind w:left="717"/>
      </w:pPr>
      <w:r>
        <w:rPr>
          <w:b/>
          <w:sz w:val="20"/>
          <w:szCs w:val="20"/>
        </w:rPr>
        <w:t>(ii)</w:t>
      </w:r>
      <w:r>
        <w:rPr>
          <w:sz w:val="20"/>
          <w:szCs w:val="20"/>
        </w:rPr>
        <w:tab/>
      </w:r>
      <w:r>
        <w:rPr>
          <w:b/>
          <w:sz w:val="20"/>
          <w:szCs w:val="20"/>
        </w:rPr>
        <w:t>Ograniczenie odpowiedzialności</w:t>
      </w:r>
      <w:r w:rsidRPr="00563B9F">
        <w:rPr>
          <w:b/>
          <w:bCs/>
          <w:sz w:val="20"/>
          <w:szCs w:val="20"/>
        </w:rPr>
        <w:t>.</w:t>
      </w:r>
      <w:r>
        <w:rPr>
          <w:sz w:val="20"/>
          <w:szCs w:val="20"/>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rsidR="00853C20" w:rsidRPr="00E35605" w:rsidRDefault="00853C20" w:rsidP="00853C20">
      <w:pPr>
        <w:pStyle w:val="Heading1"/>
        <w:numPr>
          <w:ilvl w:val="0"/>
          <w:numId w:val="0"/>
        </w:numPr>
        <w:ind w:left="717"/>
      </w:pPr>
      <w:r>
        <w:rPr>
          <w:b w:val="0"/>
          <w:sz w:val="20"/>
          <w:szCs w:val="20"/>
        </w:rPr>
        <w:t xml:space="preserve">Z zastrzeżeniem postanowień zawartych w powyższym podpunkcie (ii), Microsoft ponosi odpowiedzialność jedynie z tytułu nieznacznego niedbalstwa w przypadku niewywiązania się ze swoich istotnych zobowiązań umownych, których naruszenie mogłoby stanowić zagrożenie dla </w:t>
      </w:r>
      <w:r>
        <w:rPr>
          <w:b w:val="0"/>
          <w:sz w:val="20"/>
          <w:szCs w:val="20"/>
        </w:rPr>
        <w:lastRenderedPageBreak/>
        <w:t>realizacji celu niniejszej umowy, a co do wypełnienia których strona może mieć bezwzględne zaufanie (tzw. podstawowe zobowiązania umowne). Microsoft nie ponosi żadnej odpowiedzialności z tytułu pozostałych przypadków nieznacznego niedbalstwa.</w:t>
      </w:r>
    </w:p>
    <w:p w:rsidR="008113AA" w:rsidRPr="00E35605" w:rsidRDefault="009A7A15" w:rsidP="0079095C">
      <w:pPr>
        <w:pStyle w:val="Heading1"/>
        <w:widowControl w:val="0"/>
        <w:ind w:left="360" w:hanging="360"/>
      </w:pPr>
      <w:r>
        <w:rPr>
          <w:rFonts w:eastAsia="SimSun"/>
          <w:caps/>
          <w:sz w:val="20"/>
          <w:szCs w:val="20"/>
        </w:rPr>
        <w:t>Odrzucenie odpowiedzialności z tytułu rękojmi i gwarancji.</w:t>
      </w:r>
      <w:r>
        <w:rPr>
          <w:rFonts w:eastAsia="SimSun"/>
          <w:sz w:val="20"/>
          <w:szCs w:val="20"/>
        </w:rPr>
        <w:t xml:space="preserve"> </w:t>
      </w:r>
      <w:r>
        <w:rPr>
          <w:rFonts w:eastAsia="SimSun"/>
          <w:caps/>
          <w:sz w:val="20"/>
          <w:szCs w:val="20"/>
        </w:rPr>
        <w:t>Oprogramowanie jest licencjonowane w stanie „takim, w jakim jest”. Wszelkie ryzyko związane z korzystaniem z oprogramowania ponosi Licencjobiorca. Microsoft nie udziela żadnych wyraźnych rękojmi, gwarancji ani zapewnień dotyczących oprogramowania. W zakresie dozwolonym przez prawo miejscowe Microsoft niniejszym wyłącza swoją odpowiedzialność z tytułu dorozumianych gwarancji co do wartości handlowej, przydatności do określonego celu oraz braku naruszeń praw własności intelektualnej.</w:t>
      </w:r>
    </w:p>
    <w:p w:rsidR="008113AA" w:rsidRPr="00E35605" w:rsidRDefault="009A7A15">
      <w:pPr>
        <w:pStyle w:val="Heading1"/>
        <w:widowControl w:val="0"/>
        <w:ind w:left="360" w:hanging="360"/>
      </w:pPr>
      <w:r>
        <w:rPr>
          <w:rFonts w:eastAsia="SimSun"/>
          <w:caps/>
          <w:sz w:val="20"/>
          <w:szCs w:val="20"/>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rsidR="008113AA" w:rsidRPr="00E35605" w:rsidRDefault="009A7A15" w:rsidP="00C42026">
      <w:pPr>
        <w:pStyle w:val="Body1"/>
        <w:widowControl w:val="0"/>
      </w:pPr>
      <w:r>
        <w:rPr>
          <w:rFonts w:eastAsia="SimSun"/>
          <w:sz w:val="20"/>
          <w:szCs w:val="20"/>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rsidR="008113AA" w:rsidRPr="00E35605" w:rsidRDefault="009A7A15">
      <w:pPr>
        <w:widowControl w:val="0"/>
        <w:ind w:left="360"/>
      </w:pPr>
      <w:r>
        <w:rPr>
          <w:rFonts w:eastAsia="SimSun"/>
          <w:sz w:val="20"/>
          <w:szCs w:val="20"/>
        </w:rPr>
        <w:t>Ograniczenie to ma zastosowanie także w przypadku, gdy Microsoft wiedział lub powinien był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FD09DF" w:rsidRPr="00E35605" w:rsidRDefault="00FD09DF">
      <w:pPr>
        <w:widowControl w:val="0"/>
        <w:ind w:left="360"/>
      </w:pPr>
    </w:p>
    <w:p w:rsidR="00FD09DF" w:rsidRPr="00D47885" w:rsidRDefault="00FD09DF" w:rsidP="009C3FF3">
      <w:pPr>
        <w:spacing w:before="0" w:after="160"/>
        <w:ind w:firstLine="360"/>
        <w:rPr>
          <w:rStyle w:val="LogoportDoNotTranslate"/>
          <w:lang w:val="en-US"/>
        </w:rPr>
      </w:pPr>
      <w:r w:rsidRPr="00563B9F">
        <w:rPr>
          <w:rFonts w:eastAsia="Times New Roman"/>
          <w:color w:val="000000"/>
          <w:lang w:val="en-US" w:eastAsia="en-US" w:bidi="ar-SA"/>
        </w:rPr>
        <w:t>EULAID:</w:t>
      </w:r>
      <w:r w:rsidRPr="00D47885">
        <w:rPr>
          <w:rStyle w:val="LogoportDoNotTranslate"/>
          <w:lang w:val="en-US"/>
        </w:rPr>
        <w:t xml:space="preserve"> </w:t>
      </w:r>
      <w:r w:rsidRPr="00D47885">
        <w:rPr>
          <w:rFonts w:eastAsia="Times New Roman"/>
          <w:color w:val="1F3864"/>
          <w:lang w:val="en-US" w:eastAsia="en-US" w:bidi="ar-SA"/>
        </w:rPr>
        <w:t>VS2017_CTP_EVAL_VSEXPRESS_</w:t>
      </w:r>
      <w:r w:rsidR="00563B9F" w:rsidRPr="00D47885">
        <w:rPr>
          <w:rFonts w:eastAsia="Times New Roman"/>
          <w:color w:val="1F3864"/>
          <w:lang w:val="en-US" w:eastAsia="en-US" w:bidi="ar-SA"/>
        </w:rPr>
        <w:t>P</w:t>
      </w:r>
      <w:r w:rsidR="009C3FF3">
        <w:rPr>
          <w:rFonts w:eastAsia="Times New Roman"/>
          <w:color w:val="1F3864"/>
          <w:lang w:val="en-US" w:eastAsia="en-US" w:bidi="ar-SA"/>
        </w:rPr>
        <w:t>LK</w:t>
      </w:r>
      <w:r w:rsidR="007D33EC" w:rsidRPr="00D47885">
        <w:rPr>
          <w:rStyle w:val="LogoportDoNotTranslate"/>
          <w:lang w:val="en-US"/>
        </w:rPr>
        <w:t xml:space="preserve"> </w:t>
      </w:r>
    </w:p>
    <w:p w:rsidR="00FD09DF" w:rsidRPr="00D47885" w:rsidRDefault="00FD09DF">
      <w:pPr>
        <w:widowControl w:val="0"/>
        <w:ind w:left="360"/>
        <w:rPr>
          <w:lang w:val="en-US"/>
        </w:rPr>
      </w:pPr>
    </w:p>
    <w:sectPr w:rsidR="00FD09DF" w:rsidRPr="00D47885"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30" w:rsidRDefault="00126630">
      <w:pPr>
        <w:rPr>
          <w:rFonts w:cs="Times New Roman"/>
        </w:rPr>
      </w:pPr>
      <w:r>
        <w:rPr>
          <w:rFonts w:cs="Times New Roman"/>
        </w:rPr>
        <w:separator/>
      </w:r>
    </w:p>
  </w:endnote>
  <w:endnote w:type="continuationSeparator" w:id="0">
    <w:p w:rsidR="00126630" w:rsidRDefault="00126630">
      <w:pPr>
        <w:rPr>
          <w:rFonts w:cs="Times New Roman"/>
        </w:rPr>
      </w:pPr>
      <w:r>
        <w:rPr>
          <w:rFonts w:cs="Times New Roman"/>
        </w:rPr>
        <w:continuationSeparator/>
      </w:r>
    </w:p>
  </w:endnote>
  <w:endnote w:type="continuationNotice" w:id="1">
    <w:p w:rsidR="00126630" w:rsidRDefault="001266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30" w:rsidRDefault="00126630">
      <w:pPr>
        <w:rPr>
          <w:rFonts w:cs="Times New Roman"/>
        </w:rPr>
      </w:pPr>
      <w:r>
        <w:rPr>
          <w:rFonts w:cs="Times New Roman"/>
        </w:rPr>
        <w:separator/>
      </w:r>
    </w:p>
  </w:footnote>
  <w:footnote w:type="continuationSeparator" w:id="0">
    <w:p w:rsidR="00126630" w:rsidRDefault="00126630">
      <w:pPr>
        <w:rPr>
          <w:rFonts w:cs="Times New Roman"/>
        </w:rPr>
      </w:pPr>
      <w:r>
        <w:rPr>
          <w:rFonts w:cs="Times New Roman"/>
        </w:rPr>
        <w:continuationSeparator/>
      </w:r>
    </w:p>
  </w:footnote>
  <w:footnote w:type="continuationNotice" w:id="1">
    <w:p w:rsidR="00126630" w:rsidRDefault="0012663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D" w:rsidRDefault="0020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6290C6C0"/>
    <w:lvl w:ilvl="0" w:tplc="69F698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39C0FBA0"/>
    <w:lvl w:ilvl="0" w:tplc="B53EAF12">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67BE5E9A"/>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E5E66500"/>
    <w:lvl w:ilvl="0" w:tplc="45E49976">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01DEFE04"/>
    <w:lvl w:ilvl="0" w:tplc="94AE566C">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4094A"/>
    <w:rsid w:val="000552D0"/>
    <w:rsid w:val="00064E2E"/>
    <w:rsid w:val="0009229E"/>
    <w:rsid w:val="000B56EF"/>
    <w:rsid w:val="000B71E5"/>
    <w:rsid w:val="000C0F25"/>
    <w:rsid w:val="000C180E"/>
    <w:rsid w:val="000C751A"/>
    <w:rsid w:val="000D17FA"/>
    <w:rsid w:val="001142D7"/>
    <w:rsid w:val="0011594A"/>
    <w:rsid w:val="001239DC"/>
    <w:rsid w:val="00126630"/>
    <w:rsid w:val="001375C0"/>
    <w:rsid w:val="00146601"/>
    <w:rsid w:val="00166154"/>
    <w:rsid w:val="00167678"/>
    <w:rsid w:val="001753D2"/>
    <w:rsid w:val="00187337"/>
    <w:rsid w:val="00192FFA"/>
    <w:rsid w:val="0019306D"/>
    <w:rsid w:val="001B4E80"/>
    <w:rsid w:val="001B7DF9"/>
    <w:rsid w:val="001D3C9B"/>
    <w:rsid w:val="001E2F72"/>
    <w:rsid w:val="001F0BCB"/>
    <w:rsid w:val="001F78E9"/>
    <w:rsid w:val="00202EF2"/>
    <w:rsid w:val="0020711D"/>
    <w:rsid w:val="00217A4A"/>
    <w:rsid w:val="00236BF0"/>
    <w:rsid w:val="0027286B"/>
    <w:rsid w:val="0029649D"/>
    <w:rsid w:val="002B6D18"/>
    <w:rsid w:val="002C32BE"/>
    <w:rsid w:val="002F4505"/>
    <w:rsid w:val="003051A3"/>
    <w:rsid w:val="003154C3"/>
    <w:rsid w:val="00322B1C"/>
    <w:rsid w:val="00325798"/>
    <w:rsid w:val="00334A0B"/>
    <w:rsid w:val="00365B76"/>
    <w:rsid w:val="00375046"/>
    <w:rsid w:val="003807C8"/>
    <w:rsid w:val="00386BEC"/>
    <w:rsid w:val="003A0255"/>
    <w:rsid w:val="003A191E"/>
    <w:rsid w:val="003B0D0C"/>
    <w:rsid w:val="0041289D"/>
    <w:rsid w:val="00417C8B"/>
    <w:rsid w:val="004838CC"/>
    <w:rsid w:val="004B60A8"/>
    <w:rsid w:val="005125FA"/>
    <w:rsid w:val="005137FF"/>
    <w:rsid w:val="00560275"/>
    <w:rsid w:val="00563B9F"/>
    <w:rsid w:val="00583420"/>
    <w:rsid w:val="00596398"/>
    <w:rsid w:val="005A04EE"/>
    <w:rsid w:val="005A6956"/>
    <w:rsid w:val="005C5373"/>
    <w:rsid w:val="005C7F46"/>
    <w:rsid w:val="005D0983"/>
    <w:rsid w:val="005D6CBC"/>
    <w:rsid w:val="005E64EC"/>
    <w:rsid w:val="005F67C2"/>
    <w:rsid w:val="006318AE"/>
    <w:rsid w:val="006320D3"/>
    <w:rsid w:val="00640797"/>
    <w:rsid w:val="00645AED"/>
    <w:rsid w:val="0064695A"/>
    <w:rsid w:val="00652D03"/>
    <w:rsid w:val="0065335A"/>
    <w:rsid w:val="00653EA2"/>
    <w:rsid w:val="00666BAD"/>
    <w:rsid w:val="006B3871"/>
    <w:rsid w:val="006C30E2"/>
    <w:rsid w:val="006C729C"/>
    <w:rsid w:val="006F0F1C"/>
    <w:rsid w:val="007036AF"/>
    <w:rsid w:val="00706849"/>
    <w:rsid w:val="0071197D"/>
    <w:rsid w:val="007241CD"/>
    <w:rsid w:val="00731553"/>
    <w:rsid w:val="007424B2"/>
    <w:rsid w:val="00746018"/>
    <w:rsid w:val="00752D77"/>
    <w:rsid w:val="00753B32"/>
    <w:rsid w:val="007557B8"/>
    <w:rsid w:val="007651A9"/>
    <w:rsid w:val="00780718"/>
    <w:rsid w:val="00781642"/>
    <w:rsid w:val="007869AA"/>
    <w:rsid w:val="0079095C"/>
    <w:rsid w:val="00793EBF"/>
    <w:rsid w:val="007A1B5B"/>
    <w:rsid w:val="007A2ED6"/>
    <w:rsid w:val="007C22B7"/>
    <w:rsid w:val="007C6EC7"/>
    <w:rsid w:val="007D33EC"/>
    <w:rsid w:val="007D538D"/>
    <w:rsid w:val="007F2F7D"/>
    <w:rsid w:val="008113AA"/>
    <w:rsid w:val="00814E6E"/>
    <w:rsid w:val="00825795"/>
    <w:rsid w:val="00827A7F"/>
    <w:rsid w:val="00846A23"/>
    <w:rsid w:val="00853C20"/>
    <w:rsid w:val="008602E2"/>
    <w:rsid w:val="0086117C"/>
    <w:rsid w:val="008650AE"/>
    <w:rsid w:val="008B3CC8"/>
    <w:rsid w:val="008B5E5A"/>
    <w:rsid w:val="008C5208"/>
    <w:rsid w:val="008D43AA"/>
    <w:rsid w:val="008E0465"/>
    <w:rsid w:val="008E2E90"/>
    <w:rsid w:val="008E7BE2"/>
    <w:rsid w:val="008E7E47"/>
    <w:rsid w:val="00936226"/>
    <w:rsid w:val="0097053B"/>
    <w:rsid w:val="009769B6"/>
    <w:rsid w:val="0098154B"/>
    <w:rsid w:val="009A7A15"/>
    <w:rsid w:val="009C3FF3"/>
    <w:rsid w:val="009C5DC1"/>
    <w:rsid w:val="00A16F91"/>
    <w:rsid w:val="00A23E0A"/>
    <w:rsid w:val="00A8451A"/>
    <w:rsid w:val="00A9074D"/>
    <w:rsid w:val="00A920A1"/>
    <w:rsid w:val="00AB0EF0"/>
    <w:rsid w:val="00AB465B"/>
    <w:rsid w:val="00AC6E1F"/>
    <w:rsid w:val="00AD3FA5"/>
    <w:rsid w:val="00AD7B4D"/>
    <w:rsid w:val="00AE4E5D"/>
    <w:rsid w:val="00B06D5C"/>
    <w:rsid w:val="00B10D0B"/>
    <w:rsid w:val="00B171C1"/>
    <w:rsid w:val="00B212A3"/>
    <w:rsid w:val="00B248EB"/>
    <w:rsid w:val="00B27648"/>
    <w:rsid w:val="00B63B53"/>
    <w:rsid w:val="00B6793C"/>
    <w:rsid w:val="00B85B59"/>
    <w:rsid w:val="00B862E9"/>
    <w:rsid w:val="00B9046E"/>
    <w:rsid w:val="00B911BD"/>
    <w:rsid w:val="00B964FC"/>
    <w:rsid w:val="00BC010C"/>
    <w:rsid w:val="00BD648E"/>
    <w:rsid w:val="00BE609E"/>
    <w:rsid w:val="00BF4C6A"/>
    <w:rsid w:val="00C020DD"/>
    <w:rsid w:val="00C048CA"/>
    <w:rsid w:val="00C049C7"/>
    <w:rsid w:val="00C06DFF"/>
    <w:rsid w:val="00C13505"/>
    <w:rsid w:val="00C23EB4"/>
    <w:rsid w:val="00C42026"/>
    <w:rsid w:val="00C459D5"/>
    <w:rsid w:val="00C618A3"/>
    <w:rsid w:val="00C703AC"/>
    <w:rsid w:val="00C95C5C"/>
    <w:rsid w:val="00CE294C"/>
    <w:rsid w:val="00CE40C8"/>
    <w:rsid w:val="00CF225F"/>
    <w:rsid w:val="00CF2973"/>
    <w:rsid w:val="00D12EA1"/>
    <w:rsid w:val="00D308DB"/>
    <w:rsid w:val="00D30C60"/>
    <w:rsid w:val="00D43A46"/>
    <w:rsid w:val="00D47885"/>
    <w:rsid w:val="00D72ED5"/>
    <w:rsid w:val="00D84062"/>
    <w:rsid w:val="00D9209F"/>
    <w:rsid w:val="00DC582F"/>
    <w:rsid w:val="00DC5D01"/>
    <w:rsid w:val="00E02845"/>
    <w:rsid w:val="00E119E1"/>
    <w:rsid w:val="00E12EE0"/>
    <w:rsid w:val="00E14A13"/>
    <w:rsid w:val="00E258E2"/>
    <w:rsid w:val="00E25FF6"/>
    <w:rsid w:val="00E26362"/>
    <w:rsid w:val="00E312B4"/>
    <w:rsid w:val="00E35605"/>
    <w:rsid w:val="00E45DB9"/>
    <w:rsid w:val="00E50423"/>
    <w:rsid w:val="00E57AEA"/>
    <w:rsid w:val="00E74C07"/>
    <w:rsid w:val="00E81F8A"/>
    <w:rsid w:val="00E8344F"/>
    <w:rsid w:val="00E91B66"/>
    <w:rsid w:val="00E92598"/>
    <w:rsid w:val="00E94B45"/>
    <w:rsid w:val="00ED4450"/>
    <w:rsid w:val="00EE1666"/>
    <w:rsid w:val="00F01A36"/>
    <w:rsid w:val="00F1738C"/>
    <w:rsid w:val="00F31717"/>
    <w:rsid w:val="00F31A21"/>
    <w:rsid w:val="00F353FC"/>
    <w:rsid w:val="00F3654D"/>
    <w:rsid w:val="00F371B9"/>
    <w:rsid w:val="00F62AC4"/>
    <w:rsid w:val="00F72057"/>
    <w:rsid w:val="00F9625D"/>
    <w:rsid w:val="00FA18A8"/>
    <w:rsid w:val="00FC0DE1"/>
    <w:rsid w:val="00FC142D"/>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3D90-D388-4BBD-9D8A-95E09A3E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2017-07-24T09:52:00Z</dcterms:created>
  <dcterms:modified xsi:type="dcterms:W3CDTF">2017-07-27T18:00:00Z</dcterms:modified>
</cp:coreProperties>
</file>