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751DE0" w:rsidRDefault="008E7E47">
      <w:pPr>
        <w:pStyle w:val="HeadingEULA"/>
        <w:widowControl w:val="0"/>
        <w:rPr>
          <w:sz w:val="20"/>
          <w:szCs w:val="20"/>
        </w:rPr>
      </w:pPr>
    </w:p>
    <w:p w:rsidR="008113AA" w:rsidRPr="00E35605" w:rsidRDefault="009A7A15">
      <w:pPr>
        <w:pStyle w:val="HeadingEULA"/>
        <w:widowControl w:val="0"/>
      </w:pPr>
      <w:r>
        <w:rPr>
          <w:rFonts w:eastAsia="SimSun"/>
          <w:sz w:val="20"/>
          <w:szCs w:val="20"/>
        </w:rPr>
        <w:t>MICROSOFT ÖN SÜRÜM YAZILIMI LİSANS KOŞULLARI</w:t>
      </w:r>
    </w:p>
    <w:p w:rsidR="008E7E47" w:rsidRPr="00E35605" w:rsidRDefault="009A7A15" w:rsidP="008E7E47">
      <w:pPr>
        <w:pStyle w:val="HeadingSoftwareTitle"/>
        <w:widowControl w:val="0"/>
      </w:pPr>
      <w:r>
        <w:rPr>
          <w:rFonts w:eastAsia="SimSun"/>
          <w:sz w:val="20"/>
          <w:szCs w:val="20"/>
        </w:rPr>
        <w:t>WINDOWS MASAÜSTÜ İÇİN MICROSOFT VISUAL STUDIO EXPRESS 2017</w:t>
      </w:r>
    </w:p>
    <w:p w:rsidR="008113AA" w:rsidRPr="00E35605" w:rsidRDefault="009A7A15" w:rsidP="008B3CC8">
      <w:pPr>
        <w:pStyle w:val="Preamble"/>
        <w:widowControl w:val="0"/>
      </w:pPr>
      <w:r>
        <w:rPr>
          <w:rFonts w:eastAsia="SimSun"/>
          <w:b w:val="0"/>
          <w:bCs w:val="0"/>
          <w:sz w:val="20"/>
          <w:szCs w:val="20"/>
        </w:rPr>
        <w:t>Bu lisans koşulları, Microsoft Corporation (veya yaşadığınız yere göre bir bağlı şirketi) ile sizin aranızda yapılan sözleşmeyi oluşturur. Bu koşullar, yukarıda adı geçen yayın öncesi sürüm yazılımı için geçerlidir.</w:t>
      </w:r>
      <w:r w:rsidR="00751DE0">
        <w:rPr>
          <w:rFonts w:eastAsia="SimSun"/>
          <w:b w:val="0"/>
          <w:bCs w:val="0"/>
          <w:sz w:val="20"/>
          <w:szCs w:val="20"/>
        </w:rPr>
        <w:t xml:space="preserve"> </w:t>
      </w:r>
      <w:r>
        <w:rPr>
          <w:rFonts w:eastAsia="SimSun"/>
          <w:b w:val="0"/>
          <w:bCs w:val="0"/>
          <w:sz w:val="20"/>
          <w:szCs w:val="20"/>
        </w:rPr>
        <w:t xml:space="preserve">Şartlar, yazılım için tüm Microsoft hizmetleri veya güncelleştirmeleri için, beraberlerinde farklı şartlar bulunmadığı sürece geçerlidir. </w:t>
      </w:r>
    </w:p>
    <w:p w:rsidR="008113AA" w:rsidRPr="00E35605" w:rsidRDefault="009A7A15">
      <w:pPr>
        <w:pStyle w:val="PreambleBorderAbove"/>
        <w:widowControl w:val="0"/>
      </w:pPr>
      <w:r>
        <w:rPr>
          <w:rFonts w:eastAsia="SimSun"/>
          <w:sz w:val="20"/>
          <w:szCs w:val="20"/>
        </w:rPr>
        <w:t>BU LİSANS ŞARTLARINA UYDUĞUNUZ TAKDİRDE AŞAĞIDAKİ HAKLARA SAHİP OLURSUNUZ.</w:t>
      </w:r>
    </w:p>
    <w:p w:rsidR="008113AA" w:rsidRPr="00E35605" w:rsidRDefault="009A7A15" w:rsidP="00146601">
      <w:pPr>
        <w:pStyle w:val="Heading1"/>
        <w:tabs>
          <w:tab w:val="num" w:pos="450"/>
        </w:tabs>
        <w:ind w:left="447"/>
      </w:pPr>
      <w:r>
        <w:rPr>
          <w:sz w:val="20"/>
          <w:szCs w:val="20"/>
        </w:rPr>
        <w:t xml:space="preserve">YÜKLEME VE KULLANIM HAKLARI. </w:t>
      </w:r>
    </w:p>
    <w:p w:rsidR="00AB465B" w:rsidRPr="00E35605" w:rsidRDefault="00AB465B" w:rsidP="00560275">
      <w:pPr>
        <w:pStyle w:val="CommentText"/>
        <w:numPr>
          <w:ilvl w:val="0"/>
          <w:numId w:val="14"/>
        </w:numPr>
        <w:tabs>
          <w:tab w:val="num" w:pos="720"/>
        </w:tabs>
        <w:spacing w:before="0" w:after="160"/>
      </w:pPr>
      <w:r>
        <w:rPr>
          <w:sz w:val="20"/>
          <w:szCs w:val="20"/>
        </w:rPr>
        <w:t xml:space="preserve">Yazılımın istediğiniz sayıda kopyasını yalnızca değerlendirme amacıyla kendi cihazlarınızda yükleyebilir ve kullanabilirsiniz. </w:t>
      </w:r>
    </w:p>
    <w:p w:rsidR="00AB465B" w:rsidRPr="00E35605" w:rsidRDefault="00AB465B" w:rsidP="00560275">
      <w:pPr>
        <w:pStyle w:val="CommentText"/>
        <w:numPr>
          <w:ilvl w:val="0"/>
          <w:numId w:val="14"/>
        </w:numPr>
        <w:tabs>
          <w:tab w:val="num" w:pos="720"/>
        </w:tabs>
        <w:spacing w:before="0" w:after="160"/>
      </w:pPr>
      <w:r>
        <w:rPr>
          <w:sz w:val="20"/>
          <w:szCs w:val="20"/>
        </w:rPr>
        <w:t>Sadece yazılımdaki dağıtım teknolojilerini değerlendirmek amacıyla kendi uygulamalarınızı kuruluş içinde dağıtabilecek olmanız dışında, bu yazılım ile geliştirdiğiniz hiçbir uygulamayı dağıtamazsınız</w:t>
      </w:r>
      <w:r>
        <w:rPr>
          <w:rFonts w:eastAsia="SimSun"/>
          <w:sz w:val="20"/>
          <w:szCs w:val="20"/>
        </w:rPr>
        <w:t>.</w:t>
      </w:r>
    </w:p>
    <w:p w:rsidR="00AB465B" w:rsidRPr="00E35605" w:rsidRDefault="00AB465B" w:rsidP="00AB465B">
      <w:pPr>
        <w:pStyle w:val="Bullet3"/>
        <w:tabs>
          <w:tab w:val="clear" w:pos="1080"/>
          <w:tab w:val="num" w:pos="720"/>
        </w:tabs>
        <w:spacing w:before="0" w:after="160"/>
        <w:ind w:left="720" w:hanging="360"/>
      </w:pPr>
      <w:r>
        <w:rPr>
          <w:sz w:val="20"/>
          <w:szCs w:val="20"/>
        </w:rPr>
        <w:t>Yazılımı, Microsoft başka bir anlaşma çerçevesinde izin vermedikçe canlı bir işletim ortamında test edemezsiniz.</w:t>
      </w:r>
    </w:p>
    <w:p w:rsidR="00DC582F" w:rsidRPr="00E35605" w:rsidRDefault="00DC582F" w:rsidP="00146601">
      <w:pPr>
        <w:pStyle w:val="Heading1"/>
        <w:tabs>
          <w:tab w:val="num" w:pos="450"/>
        </w:tabs>
        <w:ind w:left="447"/>
      </w:pPr>
      <w:r>
        <w:rPr>
          <w:sz w:val="20"/>
          <w:szCs w:val="20"/>
        </w:rPr>
        <w:t>ÖZEL BİLEŞENLER İÇİN ŞARTLAR.</w:t>
      </w:r>
    </w:p>
    <w:p w:rsidR="00781642" w:rsidRPr="000A37AF" w:rsidRDefault="00781642" w:rsidP="00BB3EF0">
      <w:pPr>
        <w:pStyle w:val="Heading2"/>
        <w:widowControl w:val="0"/>
        <w:tabs>
          <w:tab w:val="left" w:pos="5760"/>
        </w:tabs>
        <w:ind w:left="720" w:hanging="360"/>
        <w:rPr>
          <w:sz w:val="20"/>
          <w:szCs w:val="20"/>
        </w:rPr>
      </w:pPr>
      <w:r w:rsidRPr="000A37AF">
        <w:rPr>
          <w:rFonts w:eastAsia="SimSun"/>
          <w:sz w:val="20"/>
          <w:szCs w:val="20"/>
        </w:rPr>
        <w:t>Üçüncü Taraf Bileşenleri.</w:t>
      </w:r>
      <w:r w:rsidR="00751DE0" w:rsidRPr="000A37AF">
        <w:rPr>
          <w:rFonts w:eastAsia="SimSun"/>
          <w:sz w:val="20"/>
          <w:szCs w:val="20"/>
        </w:rPr>
        <w:t xml:space="preserve"> </w:t>
      </w:r>
      <w:r w:rsidRPr="000A37AF">
        <w:rPr>
          <w:rFonts w:eastAsia="SimSun"/>
          <w:b w:val="0"/>
          <w:bCs w:val="0"/>
          <w:sz w:val="20"/>
          <w:szCs w:val="20"/>
        </w:rPr>
        <w:t>Yazılım, beraberinde bulunan ThirdPartyNotices dosyalarında açıklandığı gibi, ayrı yasal bildirimlere sahip veya başka anlaşmalara tabi üçüncü taraf bileşenleri içerebilir.</w:t>
      </w:r>
      <w:r w:rsidR="00751DE0" w:rsidRPr="000A37AF">
        <w:rPr>
          <w:rFonts w:eastAsia="SimSun"/>
          <w:b w:val="0"/>
          <w:bCs w:val="0"/>
          <w:sz w:val="20"/>
          <w:szCs w:val="20"/>
        </w:rPr>
        <w:t xml:space="preserve"> </w:t>
      </w:r>
      <w:r w:rsidRPr="000A37AF">
        <w:rPr>
          <w:rFonts w:eastAsia="SimSun"/>
          <w:b w:val="0"/>
          <w:bCs w:val="0"/>
          <w:sz w:val="20"/>
          <w:szCs w:val="20"/>
        </w:rPr>
        <w:t>Bu gibi bileşenlerin başka anlaşmalarca yönetilmesi durumunda bile aşağıdaki tazminata ilişkin sınırlamalar ve istisnalara dair beyanlar geçerlidir.</w:t>
      </w:r>
    </w:p>
    <w:p w:rsidR="008602E2" w:rsidRPr="00C65640" w:rsidRDefault="008602E2" w:rsidP="00B107BD">
      <w:pPr>
        <w:pStyle w:val="Heading2"/>
        <w:numPr>
          <w:ilvl w:val="0"/>
          <w:numId w:val="0"/>
        </w:numPr>
        <w:ind w:left="720"/>
        <w:rPr>
          <w:sz w:val="20"/>
          <w:szCs w:val="20"/>
        </w:rPr>
      </w:pPr>
      <w:r w:rsidRPr="00C65640">
        <w:rPr>
          <w:b w:val="0"/>
          <w:sz w:val="20"/>
          <w:szCs w:val="20"/>
        </w:rPr>
        <w:t>Yazılım, kaynak kodu kullanılabilirliği yükümlülükleri bulunan açık kaynak lisansları kapsamında lisanslanan bileşenleri de içerebilir. Söz konusu lisansların kopyaları, varsa, ThirdPartyNotices dosyalarında yer alır. İlgili açık kaynak lisansları kapsamında gerekmesi durumunda bu kaynak kodunu, ThirdPartyNotices dosyalarında ifade edildiği gibi bizden temin edebilirsiniz.</w:t>
      </w:r>
      <w:r w:rsidRPr="00C65640">
        <w:rPr>
          <w:sz w:val="20"/>
          <w:szCs w:val="20"/>
        </w:rPr>
        <w:t xml:space="preserve"> </w:t>
      </w:r>
      <w:r w:rsidRPr="00C65640">
        <w:rPr>
          <w:b w:val="0"/>
          <w:sz w:val="20"/>
          <w:szCs w:val="20"/>
        </w:rPr>
        <w:t xml:space="preserve">Aynı zamanda, kaynak kodun bir kopyasını </w:t>
      </w:r>
      <w:hyperlink r:id="rId8" w:history="1">
        <w:r w:rsidR="00B107BD" w:rsidRPr="0079095C">
          <w:rPr>
            <w:rStyle w:val="Hyperlink"/>
            <w:rFonts w:cs="Tahoma"/>
            <w:b w:val="0"/>
            <w:sz w:val="20"/>
            <w:szCs w:val="20"/>
          </w:rPr>
          <w:t>https://thirdpartysource.microsoft.com</w:t>
        </w:r>
      </w:hyperlink>
      <w:r w:rsidR="00B107BD" w:rsidRPr="0079095C">
        <w:rPr>
          <w:rStyle w:val="Hyperlink"/>
          <w:rFonts w:cs="Tahoma"/>
          <w:b w:val="0"/>
          <w:sz w:val="20"/>
          <w:szCs w:val="20"/>
        </w:rPr>
        <w:t>/</w:t>
      </w:r>
      <w:bookmarkStart w:id="0" w:name="_GoBack"/>
      <w:bookmarkEnd w:id="0"/>
      <w:r w:rsidRPr="00C65640">
        <w:rPr>
          <w:b w:val="0"/>
          <w:bCs w:val="0"/>
          <w:sz w:val="20"/>
          <w:szCs w:val="20"/>
        </w:rPr>
        <w:t xml:space="preserve"> </w:t>
      </w:r>
      <w:r w:rsidRPr="00C65640">
        <w:rPr>
          <w:b w:val="0"/>
          <w:sz w:val="20"/>
          <w:szCs w:val="20"/>
        </w:rPr>
        <w:t>adresinde de bulabilirsiniz.</w:t>
      </w:r>
    </w:p>
    <w:p w:rsidR="00DC582F" w:rsidRPr="00E35605" w:rsidRDefault="00DC582F" w:rsidP="0075089C">
      <w:pPr>
        <w:pStyle w:val="Heading2"/>
        <w:widowControl w:val="0"/>
        <w:tabs>
          <w:tab w:val="left" w:pos="5760"/>
        </w:tabs>
        <w:ind w:left="720" w:hanging="360"/>
      </w:pPr>
      <w:r>
        <w:rPr>
          <w:rFonts w:eastAsia="SimSun"/>
          <w:sz w:val="20"/>
          <w:szCs w:val="20"/>
        </w:rPr>
        <w:t xml:space="preserve">Microsoft Platformları. </w:t>
      </w:r>
      <w:r>
        <w:rPr>
          <w:rFonts w:eastAsia="SimSun"/>
          <w:b w:val="0"/>
          <w:sz w:val="20"/>
          <w:szCs w:val="20"/>
        </w:rPr>
        <w:t xml:space="preserve">Yazılım, Microsoft Windows; Microsoft Windows Server; Microsoft SQL Server; Microsoft Exchange; Microsoft Office ve Microsoft SharePoint'ten bileşenler içerebilir. Bu bileşenler, yazılımın beraberinde bulunan Microsoft </w:t>
      </w:r>
      <w:r w:rsidR="006E29E8">
        <w:rPr>
          <w:rFonts w:eastAsia="SimSun"/>
          <w:b w:val="0"/>
          <w:sz w:val="20"/>
          <w:szCs w:val="20"/>
        </w:rPr>
        <w:t>“</w:t>
      </w:r>
      <w:r>
        <w:rPr>
          <w:rFonts w:eastAsia="SimSun"/>
          <w:b w:val="0"/>
          <w:sz w:val="20"/>
          <w:szCs w:val="20"/>
        </w:rPr>
        <w:t>Licenses</w:t>
      </w:r>
      <w:r w:rsidR="006E29E8">
        <w:rPr>
          <w:rFonts w:eastAsia="SimSun"/>
          <w:b w:val="0"/>
          <w:sz w:val="20"/>
          <w:szCs w:val="20"/>
        </w:rPr>
        <w:t>”</w:t>
      </w:r>
      <w:r>
        <w:rPr>
          <w:rFonts w:eastAsia="SimSun"/>
          <w:b w:val="0"/>
          <w:sz w:val="20"/>
          <w:szCs w:val="20"/>
        </w:rPr>
        <w:t xml:space="preserve"> (Lisanslar) klasöründe açıklandığı gibi, ayrı anlaşmalara ve kendi ürün destek ilkelerine tabidir. Söz konusu </w:t>
      </w:r>
      <w:r w:rsidR="0075089C" w:rsidRPr="00D93A81">
        <w:rPr>
          <w:rFonts w:eastAsia="SimSun"/>
          <w:b w:val="0"/>
          <w:sz w:val="20"/>
          <w:szCs w:val="20"/>
        </w:rPr>
        <w:t>bileşenlere ilişkin lisans şartları ilişkili yükleme dizinine eklenmişse bu bileşenler söz konusu lisans şartlarına tabi olur</w:t>
      </w:r>
      <w:r>
        <w:rPr>
          <w:rFonts w:eastAsia="SimSun"/>
          <w:b w:val="0"/>
          <w:sz w:val="20"/>
          <w:szCs w:val="20"/>
        </w:rPr>
        <w:t>.</w:t>
      </w:r>
    </w:p>
    <w:p w:rsidR="00DC582F" w:rsidRPr="00E35605" w:rsidRDefault="00DC582F" w:rsidP="00BB3EF0">
      <w:pPr>
        <w:pStyle w:val="Heading2"/>
        <w:widowControl w:val="0"/>
        <w:tabs>
          <w:tab w:val="left" w:pos="5760"/>
        </w:tabs>
        <w:ind w:left="720" w:hanging="360"/>
      </w:pPr>
      <w:r>
        <w:rPr>
          <w:rFonts w:eastAsia="SimSun"/>
          <w:sz w:val="20"/>
          <w:szCs w:val="20"/>
        </w:rPr>
        <w:t>Paket Yöneticileri.</w:t>
      </w:r>
      <w:r w:rsidR="00751DE0">
        <w:rPr>
          <w:rFonts w:eastAsia="SimSun"/>
          <w:sz w:val="20"/>
          <w:szCs w:val="20"/>
        </w:rPr>
        <w:t xml:space="preserve"> </w:t>
      </w:r>
      <w:r>
        <w:rPr>
          <w:rFonts w:eastAsia="SimSun"/>
          <w:b w:val="0"/>
          <w:sz w:val="20"/>
          <w:szCs w:val="20"/>
        </w:rPr>
        <w:t>Yazılım, uygulamanızla birlikte kullanmak üzere size, Microsoft ve üçüncü taraf yazılım paketlerini indirme seçeneği sağlayan NuGet gibi paket yöneticileri içerir. Bu paketler bu anlaşmaya değil, kendi lisanslarına tabidir. Microsoft herhangi bir üçüncü taraf paketini dağıtmaz, lisanslamaz veya bunlar için garanti vermez.</w:t>
      </w:r>
      <w:r w:rsidR="00751DE0">
        <w:rPr>
          <w:rFonts w:eastAsia="SimSun"/>
          <w:b w:val="0"/>
          <w:sz w:val="20"/>
          <w:szCs w:val="20"/>
        </w:rPr>
        <w:t xml:space="preserve"> </w:t>
      </w:r>
    </w:p>
    <w:p w:rsidR="008113AA" w:rsidRPr="00E35605" w:rsidRDefault="00031BF9" w:rsidP="003A3DA8">
      <w:pPr>
        <w:pStyle w:val="Heading1"/>
        <w:tabs>
          <w:tab w:val="num" w:pos="450"/>
        </w:tabs>
        <w:ind w:left="447"/>
      </w:pPr>
      <w:r>
        <w:rPr>
          <w:sz w:val="20"/>
          <w:szCs w:val="20"/>
        </w:rPr>
        <w:t xml:space="preserve">DAĞITILABİLİR KOD. </w:t>
      </w:r>
      <w:r>
        <w:rPr>
          <w:b w:val="0"/>
          <w:sz w:val="20"/>
          <w:szCs w:val="20"/>
        </w:rPr>
        <w:t>Yazılım, aşağıdaki koşullara uymanız durumda geliştirdiğiniz uygulamalarda dağıtımını yapabileceğiniz kodu içerir.</w:t>
      </w:r>
      <w:r w:rsidR="00751DE0">
        <w:rPr>
          <w:b w:val="0"/>
          <w:sz w:val="20"/>
          <w:szCs w:val="20"/>
        </w:rPr>
        <w:t xml:space="preserve"> </w:t>
      </w:r>
      <w:r>
        <w:rPr>
          <w:b w:val="0"/>
          <w:sz w:val="20"/>
          <w:szCs w:val="20"/>
        </w:rPr>
        <w:t xml:space="preserve">(Bu Bölüm için </w:t>
      </w:r>
      <w:r w:rsidR="003A3DA8">
        <w:rPr>
          <w:b w:val="0"/>
          <w:sz w:val="20"/>
          <w:szCs w:val="20"/>
        </w:rPr>
        <w:t>“</w:t>
      </w:r>
      <w:r>
        <w:rPr>
          <w:b w:val="0"/>
          <w:sz w:val="20"/>
          <w:szCs w:val="20"/>
        </w:rPr>
        <w:t>dağıtım</w:t>
      </w:r>
      <w:r w:rsidR="003A3DA8">
        <w:rPr>
          <w:b w:val="0"/>
          <w:sz w:val="20"/>
          <w:szCs w:val="20"/>
        </w:rPr>
        <w:t>”</w:t>
      </w:r>
      <w:r>
        <w:rPr>
          <w:b w:val="0"/>
          <w:sz w:val="20"/>
          <w:szCs w:val="20"/>
        </w:rPr>
        <w:t xml:space="preserve"> terimi, üçüncü tarafların internet üzerinden erişmeleri için uygulamalarınızın dağıtımı anlamına da gelir.)</w:t>
      </w:r>
    </w:p>
    <w:p w:rsidR="008113AA" w:rsidRPr="00E35605" w:rsidRDefault="00146601" w:rsidP="000E13E4">
      <w:pPr>
        <w:pStyle w:val="Heading2"/>
        <w:widowControl w:val="0"/>
        <w:ind w:left="720" w:hanging="360"/>
      </w:pPr>
      <w:r>
        <w:rPr>
          <w:rFonts w:eastAsia="SimSun"/>
          <w:bCs w:val="0"/>
          <w:sz w:val="20"/>
          <w:szCs w:val="20"/>
        </w:rPr>
        <w:t>Dağıtım Hakları.</w:t>
      </w:r>
      <w:r w:rsidR="00751DE0">
        <w:rPr>
          <w:rFonts w:eastAsia="SimSun"/>
          <w:bCs w:val="0"/>
          <w:sz w:val="20"/>
          <w:szCs w:val="20"/>
        </w:rPr>
        <w:t xml:space="preserve"> </w:t>
      </w:r>
      <w:r>
        <w:rPr>
          <w:rStyle w:val="Body3Char"/>
          <w:rFonts w:eastAsia="SimSun"/>
          <w:b w:val="0"/>
          <w:sz w:val="20"/>
          <w:szCs w:val="20"/>
        </w:rPr>
        <w:t xml:space="preserve">Aşağıda listelenen kod ve metin dosyaları </w:t>
      </w:r>
      <w:r w:rsidR="003A3DA8">
        <w:rPr>
          <w:rStyle w:val="Body3Char"/>
          <w:rFonts w:eastAsia="SimSun"/>
          <w:b w:val="0"/>
          <w:sz w:val="20"/>
          <w:szCs w:val="20"/>
        </w:rPr>
        <w:t>“</w:t>
      </w:r>
      <w:r>
        <w:rPr>
          <w:rStyle w:val="Body3Char"/>
          <w:rFonts w:eastAsia="SimSun"/>
          <w:sz w:val="20"/>
          <w:szCs w:val="20"/>
        </w:rPr>
        <w:t>Dağıtılabilir Kod</w:t>
      </w:r>
      <w:r w:rsidR="003A3DA8">
        <w:rPr>
          <w:rStyle w:val="Body3Char"/>
          <w:rFonts w:eastAsia="SimSun"/>
          <w:b w:val="0"/>
          <w:sz w:val="20"/>
          <w:szCs w:val="20"/>
        </w:rPr>
        <w:t>”</w:t>
      </w:r>
      <w:r>
        <w:rPr>
          <w:rStyle w:val="Body3Char"/>
          <w:rFonts w:eastAsia="SimSun"/>
          <w:b w:val="0"/>
          <w:sz w:val="20"/>
          <w:szCs w:val="20"/>
        </w:rPr>
        <w:t>dur.</w:t>
      </w:r>
    </w:p>
    <w:p w:rsidR="00167678" w:rsidRPr="00060D0F" w:rsidRDefault="00167678" w:rsidP="007424B2">
      <w:pPr>
        <w:pStyle w:val="Bullet4Underlined"/>
        <w:widowControl w:val="0"/>
        <w:numPr>
          <w:ilvl w:val="0"/>
          <w:numId w:val="4"/>
        </w:numPr>
        <w:tabs>
          <w:tab w:val="num" w:pos="1080"/>
        </w:tabs>
        <w:ind w:left="1080" w:hanging="360"/>
        <w:rPr>
          <w:sz w:val="20"/>
          <w:szCs w:val="20"/>
        </w:rPr>
      </w:pPr>
      <w:r w:rsidRPr="00060D0F">
        <w:rPr>
          <w:rFonts w:eastAsia="SimSun"/>
          <w:sz w:val="20"/>
          <w:szCs w:val="20"/>
        </w:rPr>
        <w:t>REDIST.TXT Dosyaları</w:t>
      </w:r>
      <w:r w:rsidRPr="00060D0F">
        <w:rPr>
          <w:rFonts w:eastAsia="SimSun"/>
          <w:sz w:val="20"/>
          <w:szCs w:val="20"/>
          <w:u w:val="none"/>
        </w:rPr>
        <w:t xml:space="preserve">. </w:t>
      </w:r>
      <w:hyperlink r:id="rId9" w:history="1">
        <w:r w:rsidRPr="00060D0F">
          <w:rPr>
            <w:rStyle w:val="Hyperlink"/>
            <w:rFonts w:cs="Tahoma"/>
            <w:sz w:val="20"/>
            <w:szCs w:val="20"/>
          </w:rPr>
          <w:t>https://go.microsoft.com/fwlink/?LinkId=823098</w:t>
        </w:r>
      </w:hyperlink>
      <w:r w:rsidRPr="00060D0F">
        <w:rPr>
          <w:rFonts w:eastAsia="SimSun"/>
          <w:sz w:val="20"/>
          <w:szCs w:val="20"/>
          <w:u w:val="none"/>
        </w:rPr>
        <w:t xml:space="preserve"> adresinde yer alan REDIST listesinde sıralanan kodun nesne kodu biçimini kopyalayabilir ve dağıtabilirsiniz.</w:t>
      </w:r>
    </w:p>
    <w:p w:rsidR="006C30E2" w:rsidRPr="00E35605" w:rsidRDefault="00E25FF6" w:rsidP="003A3DA8">
      <w:pPr>
        <w:pStyle w:val="Bullet4Underlined"/>
        <w:widowControl w:val="0"/>
        <w:numPr>
          <w:ilvl w:val="0"/>
          <w:numId w:val="4"/>
        </w:numPr>
        <w:tabs>
          <w:tab w:val="num" w:pos="1080"/>
        </w:tabs>
        <w:ind w:left="1080" w:hanging="360"/>
      </w:pPr>
      <w:r>
        <w:rPr>
          <w:sz w:val="20"/>
          <w:szCs w:val="20"/>
        </w:rPr>
        <w:t>Örnek Kod, Şablonlar ve Stiller</w:t>
      </w:r>
      <w:r>
        <w:rPr>
          <w:sz w:val="20"/>
          <w:szCs w:val="20"/>
          <w:u w:val="none"/>
        </w:rPr>
        <w:t xml:space="preserve">. </w:t>
      </w:r>
      <w:r w:rsidR="003A3DA8">
        <w:rPr>
          <w:sz w:val="20"/>
          <w:szCs w:val="20"/>
          <w:u w:val="none"/>
        </w:rPr>
        <w:t>“</w:t>
      </w:r>
      <w:r>
        <w:rPr>
          <w:sz w:val="20"/>
          <w:szCs w:val="20"/>
          <w:u w:val="none"/>
        </w:rPr>
        <w:t>Örnek</w:t>
      </w:r>
      <w:r w:rsidR="003A3DA8">
        <w:rPr>
          <w:sz w:val="20"/>
          <w:szCs w:val="20"/>
          <w:u w:val="none"/>
        </w:rPr>
        <w:t>”</w:t>
      </w:r>
      <w:r>
        <w:rPr>
          <w:sz w:val="20"/>
          <w:szCs w:val="20"/>
          <w:u w:val="none"/>
        </w:rPr>
        <w:t xml:space="preserve">, </w:t>
      </w:r>
      <w:r w:rsidR="003A3DA8">
        <w:rPr>
          <w:sz w:val="20"/>
          <w:szCs w:val="20"/>
          <w:u w:val="none"/>
        </w:rPr>
        <w:t>“</w:t>
      </w:r>
      <w:r>
        <w:rPr>
          <w:sz w:val="20"/>
          <w:szCs w:val="20"/>
          <w:u w:val="none"/>
        </w:rPr>
        <w:t>şablon</w:t>
      </w:r>
      <w:r w:rsidR="003A3DA8">
        <w:rPr>
          <w:sz w:val="20"/>
          <w:szCs w:val="20"/>
          <w:u w:val="none"/>
        </w:rPr>
        <w:t>”</w:t>
      </w:r>
      <w:r>
        <w:rPr>
          <w:sz w:val="20"/>
          <w:szCs w:val="20"/>
          <w:u w:val="none"/>
        </w:rPr>
        <w:t xml:space="preserve">, </w:t>
      </w:r>
      <w:r w:rsidR="003A3DA8">
        <w:rPr>
          <w:sz w:val="20"/>
          <w:szCs w:val="20"/>
          <w:u w:val="none"/>
        </w:rPr>
        <w:t>“</w:t>
      </w:r>
      <w:r>
        <w:rPr>
          <w:sz w:val="20"/>
          <w:szCs w:val="20"/>
          <w:u w:val="none"/>
        </w:rPr>
        <w:t>basit stiller</w:t>
      </w:r>
      <w:r w:rsidR="003A3DA8">
        <w:rPr>
          <w:sz w:val="20"/>
          <w:szCs w:val="20"/>
          <w:u w:val="none"/>
        </w:rPr>
        <w:t>”</w:t>
      </w:r>
      <w:r>
        <w:rPr>
          <w:sz w:val="20"/>
          <w:szCs w:val="20"/>
          <w:u w:val="none"/>
        </w:rPr>
        <w:t xml:space="preserve"> veya </w:t>
      </w:r>
      <w:r w:rsidR="003A3DA8">
        <w:rPr>
          <w:sz w:val="20"/>
          <w:szCs w:val="20"/>
          <w:u w:val="none"/>
        </w:rPr>
        <w:t>“</w:t>
      </w:r>
      <w:r>
        <w:rPr>
          <w:sz w:val="20"/>
          <w:szCs w:val="20"/>
          <w:u w:val="none"/>
        </w:rPr>
        <w:t>taslak stiller</w:t>
      </w:r>
      <w:r w:rsidR="003A3DA8">
        <w:rPr>
          <w:sz w:val="20"/>
          <w:szCs w:val="20"/>
          <w:u w:val="none"/>
        </w:rPr>
        <w:t>”</w:t>
      </w:r>
      <w:r>
        <w:rPr>
          <w:sz w:val="20"/>
          <w:szCs w:val="20"/>
          <w:u w:val="none"/>
        </w:rPr>
        <w:t xml:space="preserve"> olarak işaretlenmiş kaynak ve nesne kodu biçimini kopyalayabilir, değiştirebilir ve dağıtabilirsiniz. </w:t>
      </w:r>
    </w:p>
    <w:p w:rsidR="008113AA" w:rsidRPr="00E35605" w:rsidRDefault="009A7A15" w:rsidP="007C22B7">
      <w:pPr>
        <w:pStyle w:val="Bullet4Underline"/>
        <w:widowControl w:val="0"/>
        <w:tabs>
          <w:tab w:val="num" w:pos="720"/>
        </w:tabs>
        <w:ind w:left="1080" w:hanging="360"/>
      </w:pPr>
      <w:r>
        <w:rPr>
          <w:rFonts w:eastAsia="SimSun"/>
          <w:sz w:val="20"/>
          <w:szCs w:val="20"/>
        </w:rPr>
        <w:lastRenderedPageBreak/>
        <w:t>Üçüncü Taraf Dağıtımı</w:t>
      </w:r>
      <w:r>
        <w:rPr>
          <w:rFonts w:eastAsia="SimSun"/>
          <w:sz w:val="20"/>
          <w:szCs w:val="20"/>
          <w:u w:val="none"/>
        </w:rPr>
        <w:t>. Uygulamalarınızın dağıtımcılarının, söz konusu uygulamaların bir parçası olarak Dağıtılabilir Kodu kopyalamalarına ve dağıtmalarına izin verebilirsiniz.</w:t>
      </w:r>
    </w:p>
    <w:p w:rsidR="008113AA" w:rsidRPr="00E35605" w:rsidRDefault="009A7A15">
      <w:pPr>
        <w:pStyle w:val="Heading3Bold"/>
        <w:widowControl w:val="0"/>
        <w:tabs>
          <w:tab w:val="clear" w:pos="1440"/>
          <w:tab w:val="num" w:pos="1077"/>
        </w:tabs>
      </w:pPr>
      <w:r>
        <w:rPr>
          <w:rFonts w:eastAsia="SimSun"/>
          <w:sz w:val="20"/>
          <w:szCs w:val="20"/>
        </w:rPr>
        <w:t>Dağıtım Gereksinimleri.</w:t>
      </w:r>
      <w:r>
        <w:rPr>
          <w:rStyle w:val="Body3Char"/>
          <w:rFonts w:eastAsia="SimSun"/>
          <w:sz w:val="20"/>
          <w:szCs w:val="20"/>
        </w:rPr>
        <w:t xml:space="preserve"> </w:t>
      </w:r>
      <w:r>
        <w:rPr>
          <w:rStyle w:val="Body3Char"/>
          <w:rFonts w:eastAsia="SimSun"/>
          <w:b w:val="0"/>
          <w:sz w:val="20"/>
          <w:szCs w:val="20"/>
        </w:rPr>
        <w:t>Dağıttığınız herhangi bir Dağıtılabilir Kod için:</w:t>
      </w:r>
    </w:p>
    <w:p w:rsidR="008113AA" w:rsidRPr="00E35605" w:rsidRDefault="009A7A15">
      <w:pPr>
        <w:pStyle w:val="Bullet4"/>
        <w:widowControl w:val="0"/>
      </w:pPr>
      <w:r>
        <w:rPr>
          <w:rFonts w:eastAsia="SimSun"/>
          <w:sz w:val="20"/>
          <w:szCs w:val="20"/>
        </w:rPr>
        <w:t>ona programlarınızda önemli yeni işlevler eklemiş olmanız;</w:t>
      </w:r>
    </w:p>
    <w:p w:rsidR="008113AA" w:rsidRPr="00E35605" w:rsidRDefault="009A7A15">
      <w:pPr>
        <w:pStyle w:val="Bullet4"/>
        <w:widowControl w:val="0"/>
      </w:pPr>
      <w:r>
        <w:rPr>
          <w:rFonts w:eastAsia="SimSun"/>
          <w:sz w:val="20"/>
          <w:szCs w:val="20"/>
        </w:rPr>
        <w:t>dağıtımcıların ve dış son kullanıcıların, Dağıtılabilir Kodu en azından bu anlaşma kadar koruyan koşulları kabul etmelerini zorunlu tutmanız ve</w:t>
      </w:r>
    </w:p>
    <w:p w:rsidR="008113AA" w:rsidRPr="00E35605" w:rsidRDefault="009A7A15">
      <w:pPr>
        <w:pStyle w:val="Bullet4"/>
        <w:widowControl w:val="0"/>
      </w:pPr>
      <w:r>
        <w:rPr>
          <w:rFonts w:eastAsia="SimSun"/>
          <w:sz w:val="20"/>
          <w:szCs w:val="20"/>
        </w:rPr>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rsidR="008113AA" w:rsidRPr="00E35605" w:rsidRDefault="009A7A15">
      <w:pPr>
        <w:pStyle w:val="Heading3Bold"/>
        <w:widowControl w:val="0"/>
        <w:tabs>
          <w:tab w:val="clear" w:pos="1440"/>
          <w:tab w:val="num" w:pos="1077"/>
        </w:tabs>
      </w:pPr>
      <w:r>
        <w:rPr>
          <w:rFonts w:eastAsia="SimSun"/>
          <w:sz w:val="20"/>
          <w:szCs w:val="20"/>
        </w:rPr>
        <w:t>Dağıtım Sınırlamaları.</w:t>
      </w:r>
      <w:r>
        <w:rPr>
          <w:rStyle w:val="Body3Char"/>
          <w:rFonts w:eastAsia="SimSun"/>
          <w:sz w:val="20"/>
          <w:szCs w:val="20"/>
        </w:rPr>
        <w:t xml:space="preserve"> Şunları yapamazsınız:</w:t>
      </w:r>
    </w:p>
    <w:p w:rsidR="008113AA" w:rsidRPr="00E35605" w:rsidRDefault="009A7A15">
      <w:pPr>
        <w:pStyle w:val="Bullet4"/>
        <w:widowControl w:val="0"/>
      </w:pPr>
      <w:r>
        <w:rPr>
          <w:rFonts w:eastAsia="SimSun"/>
          <w:sz w:val="20"/>
          <w:szCs w:val="20"/>
        </w:rPr>
        <w:t xml:space="preserve">Microsoft'un ticari markalarını uygulamalarınızın adlarında kullanmak veya Microsoft kaynaklı olduğunu veya Microsoft tarafından desteklendiğini düşündürecek şekilde kullanmak veya </w:t>
      </w:r>
    </w:p>
    <w:p w:rsidR="008113AA" w:rsidRPr="00E35605" w:rsidRDefault="009A7A15" w:rsidP="00F72057">
      <w:pPr>
        <w:pStyle w:val="Bullet4"/>
        <w:widowControl w:val="0"/>
      </w:pPr>
      <w:r>
        <w:rPr>
          <w:rFonts w:eastAsia="SimSun"/>
          <w:sz w:val="20"/>
          <w:szCs w:val="20"/>
        </w:rPr>
        <w:t>Herhangi bir bölümü bir Kapsam Dışı Lisansa konu olacak şekilde Dağıtılabilir Kodun kaynak kodunu değiştirmek veya dağıtmak. Bir Kapsam Dışı Lisans, bir kullanım, değişiklik ve dağıtım koşulu olarak (i) kodun kaynak kod biçiminde açıklanmasını veya dağıtılmasını veya (ii) diğer kişilerin onu değiştirme hakkının olmasını gerektiren lisanstır.</w:t>
      </w:r>
    </w:p>
    <w:p w:rsidR="0009229E" w:rsidRPr="00DF6FF3" w:rsidRDefault="0065335A" w:rsidP="00A920A1">
      <w:pPr>
        <w:pStyle w:val="Heading1"/>
        <w:tabs>
          <w:tab w:val="num" w:pos="450"/>
        </w:tabs>
        <w:ind w:left="447"/>
        <w:rPr>
          <w:sz w:val="20"/>
          <w:szCs w:val="20"/>
        </w:rPr>
      </w:pPr>
      <w:r w:rsidRPr="00DF6FF3">
        <w:rPr>
          <w:sz w:val="20"/>
          <w:szCs w:val="20"/>
        </w:rPr>
        <w:t>VERİLER</w:t>
      </w:r>
      <w:r w:rsidRPr="00DF6FF3">
        <w:rPr>
          <w:bCs w:val="0"/>
          <w:sz w:val="20"/>
          <w:szCs w:val="20"/>
        </w:rPr>
        <w:t>.</w:t>
      </w:r>
      <w:r w:rsidRPr="00DF6FF3">
        <w:rPr>
          <w:b w:val="0"/>
          <w:sz w:val="20"/>
          <w:szCs w:val="20"/>
        </w:rPr>
        <w:t xml:space="preserve"> Yazılım, sizin hakkınızda ve yazılımı kullanımınız hakkında bilgi toplayıp Microsoft'a gönderebilir. Microsoft bu bilgileri, hizmet sağlamak ve ürün ve hizmetlerimizi iyileştirmek için kullanılır.</w:t>
      </w:r>
      <w:r w:rsidR="00751DE0" w:rsidRPr="00DF6FF3">
        <w:rPr>
          <w:b w:val="0"/>
          <w:sz w:val="20"/>
          <w:szCs w:val="20"/>
        </w:rPr>
        <w:t xml:space="preserve"> </w:t>
      </w:r>
      <w:r w:rsidRPr="00DF6FF3">
        <w:rPr>
          <w:b w:val="0"/>
          <w:sz w:val="20"/>
          <w:szCs w:val="20"/>
        </w:rPr>
        <w:t>Ürün belgelerinde açıklandığı gibi bu senaryoların bir çoğunu geri çevirebilir, ancak tümünü geri çeviremezsiniz.</w:t>
      </w:r>
      <w:r w:rsidR="00751DE0" w:rsidRPr="00DF6FF3">
        <w:rPr>
          <w:b w:val="0"/>
          <w:sz w:val="20"/>
          <w:szCs w:val="20"/>
        </w:rPr>
        <w:t xml:space="preserve"> </w:t>
      </w:r>
      <w:r w:rsidRPr="00DF6FF3">
        <w:rPr>
          <w:b w:val="0"/>
          <w:sz w:val="20"/>
          <w:szCs w:val="20"/>
        </w:rPr>
        <w:t xml:space="preserve">Yazılımda ayrıca, </w:t>
      </w:r>
      <w:r w:rsidRPr="00DF6FF3">
        <w:rPr>
          <w:b w:val="0"/>
          <w:color w:val="000000"/>
          <w:sz w:val="20"/>
          <w:szCs w:val="20"/>
        </w:rPr>
        <w:t>sizin ve Microsoft'un, uygulamalarınızın kullanıcılarından veri toplamasına olanak sağlayan bazı özellikler mevcuttur</w:t>
      </w:r>
      <w:r w:rsidRPr="00DF6FF3">
        <w:rPr>
          <w:b w:val="0"/>
          <w:sz w:val="20"/>
          <w:szCs w:val="20"/>
        </w:rPr>
        <w:t xml:space="preserve">. Bu özellikleri kullanırsanız, uygulamalarınızın kullanıcılarına uygun bildirimleri sağlamak da dahil geçerli yasalara uymalısınız ve kullanıcılarınıza </w:t>
      </w:r>
      <w:r w:rsidRPr="00DF6FF3">
        <w:rPr>
          <w:rFonts w:eastAsia="SimSun"/>
          <w:b w:val="0"/>
          <w:sz w:val="20"/>
          <w:szCs w:val="20"/>
        </w:rPr>
        <w:t xml:space="preserve">gizlilik bildirimimizin bir nüshasını sağlamalısınız. Gizlilik beyanımız, burada </w:t>
      </w:r>
      <w:hyperlink r:id="rId10" w:history="1">
        <w:r w:rsidRPr="00DF6FF3">
          <w:rPr>
            <w:rStyle w:val="Hyperlink"/>
            <w:rFonts w:cs="Tahoma"/>
            <w:b w:val="0"/>
            <w:sz w:val="20"/>
            <w:szCs w:val="20"/>
          </w:rPr>
          <w:t>https://go.microsoft.com/fwlink/?LinkID=824704</w:t>
        </w:r>
      </w:hyperlink>
      <w:r w:rsidRPr="00DF6FF3">
        <w:rPr>
          <w:b w:val="0"/>
          <w:sz w:val="20"/>
          <w:szCs w:val="20"/>
        </w:rPr>
        <w:t xml:space="preserve"> bulunur. Veri toplama ve kullanımı hakkında daha fazla bilgiyi, yardım belgelerinde ve gizlilik bildirimimizde bulabilirsiniz. Yazılımı kullanmanız, bu uygulamalara verdiğiniz onay yerine geçer.</w:t>
      </w:r>
    </w:p>
    <w:p w:rsidR="00AB465B" w:rsidRPr="00E35605" w:rsidRDefault="00AB465B" w:rsidP="00560275">
      <w:pPr>
        <w:pStyle w:val="Heading1"/>
        <w:tabs>
          <w:tab w:val="num" w:pos="450"/>
        </w:tabs>
        <w:ind w:left="447"/>
      </w:pPr>
      <w:r>
        <w:rPr>
          <w:sz w:val="20"/>
          <w:szCs w:val="20"/>
        </w:rPr>
        <w:t>ZAMANA DUYARLI YAZILIM.</w:t>
      </w:r>
    </w:p>
    <w:p w:rsidR="00AB465B" w:rsidRPr="00E35605" w:rsidRDefault="00AB465B" w:rsidP="00560275">
      <w:pPr>
        <w:pStyle w:val="Heading2"/>
        <w:numPr>
          <w:ilvl w:val="0"/>
          <w:numId w:val="15"/>
        </w:numPr>
      </w:pPr>
      <w:r>
        <w:rPr>
          <w:sz w:val="20"/>
          <w:szCs w:val="20"/>
        </w:rPr>
        <w:t xml:space="preserve">Kullanım Süresi. </w:t>
      </w:r>
      <w:r>
        <w:rPr>
          <w:b w:val="0"/>
          <w:sz w:val="20"/>
          <w:szCs w:val="20"/>
        </w:rPr>
        <w:t>İşbu anlaşma, tarafınızdan kabul edildiğinde yürürlüğe girer ve (i) yazılımın ticari sürümünün ilk defa piyasaya sürülmesinden 30 gün sonra veya (ii) Microsoft tarafından feshedilmesi itibariyle fesholur. Microsoft, kendi takdirine bağlı olarak bu sözleşmenin süresini uzatabilir.</w:t>
      </w:r>
    </w:p>
    <w:p w:rsidR="00AB465B" w:rsidRPr="00E35605" w:rsidRDefault="00AB465B" w:rsidP="00560275">
      <w:pPr>
        <w:pStyle w:val="Heading2"/>
        <w:numPr>
          <w:ilvl w:val="0"/>
          <w:numId w:val="15"/>
        </w:numPr>
      </w:pPr>
      <w:r>
        <w:rPr>
          <w:sz w:val="20"/>
          <w:szCs w:val="20"/>
        </w:rPr>
        <w:t xml:space="preserve">Bildirim. </w:t>
      </w:r>
      <w:r>
        <w:rPr>
          <w:b w:val="0"/>
          <w:sz w:val="20"/>
          <w:szCs w:val="20"/>
        </w:rPr>
        <w:t>Yazılım içerisinde, bu tarihe ilişkin düzenli aralıklarla anımsatıcı bildirimler alabilirsiniz.</w:t>
      </w:r>
    </w:p>
    <w:p w:rsidR="00AB465B" w:rsidRPr="00E35605" w:rsidRDefault="00AB465B" w:rsidP="00560275">
      <w:pPr>
        <w:pStyle w:val="Heading2"/>
        <w:numPr>
          <w:ilvl w:val="0"/>
          <w:numId w:val="15"/>
        </w:numPr>
      </w:pPr>
      <w:r>
        <w:rPr>
          <w:sz w:val="20"/>
          <w:szCs w:val="20"/>
        </w:rPr>
        <w:t xml:space="preserve">Verilere erişim. </w:t>
      </w:r>
      <w:r>
        <w:rPr>
          <w:b w:val="0"/>
          <w:sz w:val="20"/>
          <w:szCs w:val="20"/>
        </w:rPr>
        <w:t>Yazılım çalışmayı durdurduğunda, yazılımla birlikte kullanılan verilere erişemeyebilirsiniz.</w:t>
      </w:r>
    </w:p>
    <w:p w:rsidR="00AB465B" w:rsidRPr="00E35605" w:rsidRDefault="00AB465B" w:rsidP="00AB465B">
      <w:pPr>
        <w:pStyle w:val="Heading1"/>
        <w:tabs>
          <w:tab w:val="num" w:pos="360"/>
        </w:tabs>
        <w:spacing w:before="0" w:after="160"/>
        <w:ind w:left="360" w:hanging="360"/>
      </w:pPr>
      <w:r>
        <w:rPr>
          <w:sz w:val="20"/>
          <w:szCs w:val="20"/>
        </w:rPr>
        <w:t xml:space="preserve">ÖN SÜRÜM YAZILIM. </w:t>
      </w:r>
      <w:r>
        <w:rPr>
          <w:b w:val="0"/>
          <w:sz w:val="20"/>
          <w:szCs w:val="20"/>
        </w:rPr>
        <w:t>Bu yazılım bir yayın öncesi sürümdür. Doğru biçimde veya son sürümünün çalıştığı gibi çalışmayabilir. Microsoft son, ticari sürümde değişiklikler yapabilir. Microsoft, yazılım ile ilgili tarafınıza bakım hizmeti, teknik destek veya güncellemeler sağlamakla yükümlü değildir.</w:t>
      </w:r>
    </w:p>
    <w:p w:rsidR="00AB465B" w:rsidRPr="00E35605" w:rsidRDefault="00AB465B" w:rsidP="00AB465B">
      <w:pPr>
        <w:pStyle w:val="Heading1"/>
        <w:tabs>
          <w:tab w:val="num" w:pos="360"/>
        </w:tabs>
        <w:spacing w:before="0" w:after="160"/>
        <w:ind w:left="360" w:hanging="360"/>
      </w:pPr>
      <w:r>
        <w:rPr>
          <w:sz w:val="20"/>
          <w:szCs w:val="20"/>
        </w:rPr>
        <w:t xml:space="preserve">GERİ BİLDİRİM. </w:t>
      </w:r>
      <w:r>
        <w:rPr>
          <w:b w:val="0"/>
          <w:sz w:val="20"/>
          <w:szCs w:val="20"/>
        </w:rPr>
        <w:t>Yazılım hakkında Microsoft'a geri bildirimde bulunursanız, Microsoft'a, ücretsiz olarak, verdiğiniz geri bildirimi herhangi bir yolla ve herhangi bir amaçla kullanma, paylaşma ve ticari olarak kullanma hakkını tanımış olursunuz. Geri bildiriminizi bunlara dâhil ettiğimiz için Microsoft'un yazılımını veya belgelerini üçüncü kişilere lisanslamasını gerektirecek şekilde lisansa tabi bir geri bildirim veremezsiniz. Bu haklar bu anlaşmanın bitiminden sonra da geçerlidir.</w:t>
      </w:r>
    </w:p>
    <w:p w:rsidR="008113AA" w:rsidRPr="00E35605" w:rsidRDefault="009A7A15" w:rsidP="0079095C">
      <w:pPr>
        <w:pStyle w:val="Heading1"/>
        <w:tabs>
          <w:tab w:val="num" w:pos="360"/>
        </w:tabs>
        <w:spacing w:before="0" w:after="160"/>
        <w:ind w:left="360" w:hanging="360"/>
      </w:pPr>
      <w:r>
        <w:rPr>
          <w:sz w:val="20"/>
          <w:szCs w:val="20"/>
        </w:rPr>
        <w:t xml:space="preserve">LİSANS KAPSAMI. </w:t>
      </w:r>
      <w:r>
        <w:rPr>
          <w:b w:val="0"/>
          <w:sz w:val="20"/>
          <w:szCs w:val="20"/>
        </w:rPr>
        <w:t xml:space="preserve">Yazılımın satışı yapılmamakta, lisansı verilmektedir. Bu anlaşma yalnızca yazılımı kullanımınızla ilgili bazı haklar vermektedir. Microsoft diğer hakların tümünü saklı tutar. Bu sınırlamalara rağmen ilgili yasalar ilave haklar sağlamıyorsa yazılımı yalnızca bu anlaşmada açıkça izin </w:t>
      </w:r>
      <w:r>
        <w:rPr>
          <w:b w:val="0"/>
          <w:sz w:val="20"/>
          <w:szCs w:val="20"/>
        </w:rPr>
        <w:lastRenderedPageBreak/>
        <w:t>verildiği şekilde kullanabilirsiniz. Bunu yaparken, yazılımda size yazılımı yalnızca belirli şekillerde kullanma izni veren her türlü teknik sınırlamaya uymanız gerekir. Örneğin Microsoft, yazılımın için teknik olarak sınırlanan veya devre dışı bırakılan genişletilebilirlik sahibidir ve bu nedenle siz de, diğer şeylerin yanında, yazılıma herhangi bir Microsoft'a ait olmayan eklenti, makro veya paket yükleyerek veya enjekte ederek; yazılım kayıt ayarlarını değiştirerek veya diğer Visual Studio ürünlerinde bulunanlara eşdeğer özellikler veya işlevsellik ekleyerek yazılımı genişletemezsiniz.</w:t>
      </w:r>
    </w:p>
    <w:p w:rsidR="00E94B45" w:rsidRPr="00E35605" w:rsidRDefault="00F371B9" w:rsidP="0079095C">
      <w:pPr>
        <w:pStyle w:val="Heading1"/>
        <w:widowControl w:val="0"/>
        <w:numPr>
          <w:ilvl w:val="0"/>
          <w:numId w:val="0"/>
        </w:numPr>
        <w:ind w:firstLine="360"/>
      </w:pPr>
      <w:r>
        <w:rPr>
          <w:rFonts w:eastAsia="SimSun"/>
          <w:b w:val="0"/>
          <w:sz w:val="20"/>
          <w:szCs w:val="20"/>
        </w:rPr>
        <w:t>Şunları da yapamazsınız</w:t>
      </w:r>
    </w:p>
    <w:p w:rsidR="008113AA" w:rsidRPr="00E35605" w:rsidRDefault="00F72057">
      <w:pPr>
        <w:pStyle w:val="Bullet2"/>
        <w:widowControl w:val="0"/>
      </w:pPr>
      <w:r>
        <w:rPr>
          <w:rFonts w:eastAsia="SimSun"/>
          <w:sz w:val="20"/>
          <w:szCs w:val="20"/>
        </w:rPr>
        <w:t>yazılımın teknik sınırlamalarını aşacak çözümler üretmek,</w:t>
      </w:r>
    </w:p>
    <w:p w:rsidR="008113AA" w:rsidRPr="00E35605" w:rsidRDefault="009A7A15">
      <w:pPr>
        <w:pStyle w:val="Bullet2"/>
        <w:widowControl w:val="0"/>
      </w:pPr>
      <w:r>
        <w:rPr>
          <w:rFonts w:eastAsia="SimSun"/>
          <w:sz w:val="20"/>
          <w:szCs w:val="20"/>
        </w:rPr>
        <w:t xml:space="preserve">yazılıma dâhil edilmiş olabilecek belirli açık kaynaklı bileşenlerin kullanımının tabi olduğu üçüncü taraf lisans verme şartlarının, </w:t>
      </w:r>
      <w:r>
        <w:rPr>
          <w:sz w:val="20"/>
          <w:szCs w:val="20"/>
        </w:rPr>
        <w:t>yalnızca gerekli gördüğü durumlar ve izin verdiği ölçü dışında, yazılımı tersine mühendislik işlemine tabi tutmak, kaynak koda dönüştürmek veya assembler diline çevirmek ya da yazılımın kaynak kodunu başka bir şekilde türetme girişiminde bulunmak;</w:t>
      </w:r>
    </w:p>
    <w:p w:rsidR="00F72057" w:rsidRPr="00E35605" w:rsidRDefault="00F72057">
      <w:pPr>
        <w:pStyle w:val="Bullet2"/>
        <w:widowControl w:val="0"/>
      </w:pPr>
      <w:r>
        <w:rPr>
          <w:sz w:val="20"/>
          <w:szCs w:val="20"/>
        </w:rPr>
        <w:t>Microsoft veya tedarikçilerinin yazılımdaki herhangi bir bildirimini kaldırmak, küçültmek, engellemek veya değiştirmek;</w:t>
      </w:r>
    </w:p>
    <w:p w:rsidR="00F72057" w:rsidRPr="00E35605" w:rsidRDefault="00F72057">
      <w:pPr>
        <w:pStyle w:val="Bullet2"/>
        <w:widowControl w:val="0"/>
      </w:pPr>
      <w:r>
        <w:rPr>
          <w:sz w:val="20"/>
          <w:szCs w:val="20"/>
        </w:rPr>
        <w:t>yazılımı kanuna aykırı bir şekilde kullanmak veya</w:t>
      </w:r>
    </w:p>
    <w:p w:rsidR="005D6CBC" w:rsidRPr="00E35605" w:rsidRDefault="00FE67BA">
      <w:pPr>
        <w:pStyle w:val="Bullet2"/>
        <w:widowControl w:val="0"/>
      </w:pPr>
      <w:r>
        <w:rPr>
          <w:rFonts w:eastAsia="SimSun"/>
          <w:sz w:val="20"/>
          <w:szCs w:val="20"/>
        </w:rPr>
        <w:t>yazılımı paylaşmak, yayımlamak, kiralamak ya da finansal kiralama yoluyla satmak veya yazılımı başkalarının kullanımı için bağımsız barındırılan bir çözüm olarak sağlamak veya yazılımı veya bu anlaşmayı üçüncü bir tarafa devretmek.</w:t>
      </w:r>
    </w:p>
    <w:p w:rsidR="003807C8" w:rsidRPr="00597438" w:rsidRDefault="003807C8" w:rsidP="005B6BE3">
      <w:pPr>
        <w:pStyle w:val="Heading1"/>
        <w:tabs>
          <w:tab w:val="num" w:pos="360"/>
        </w:tabs>
        <w:spacing w:before="0" w:after="160"/>
        <w:ind w:left="360" w:hanging="360"/>
        <w:rPr>
          <w:sz w:val="20"/>
          <w:szCs w:val="20"/>
        </w:rPr>
      </w:pPr>
      <w:r w:rsidRPr="00597438">
        <w:rPr>
          <w:sz w:val="20"/>
          <w:szCs w:val="20"/>
        </w:rPr>
        <w:t xml:space="preserve">DESTEK HİZMETLERİ. </w:t>
      </w:r>
      <w:r w:rsidRPr="00597438">
        <w:rPr>
          <w:b w:val="0"/>
          <w:sz w:val="20"/>
          <w:szCs w:val="20"/>
        </w:rPr>
        <w:t xml:space="preserve">Bu yazılım </w:t>
      </w:r>
      <w:r w:rsidR="005B6BE3" w:rsidRPr="00597438">
        <w:rPr>
          <w:b w:val="0"/>
          <w:sz w:val="20"/>
          <w:szCs w:val="20"/>
        </w:rPr>
        <w:t>“</w:t>
      </w:r>
      <w:r w:rsidRPr="00597438">
        <w:rPr>
          <w:b w:val="0"/>
          <w:sz w:val="20"/>
          <w:szCs w:val="20"/>
        </w:rPr>
        <w:t>olduğu gibi</w:t>
      </w:r>
      <w:r w:rsidR="005B6BE3" w:rsidRPr="00597438">
        <w:rPr>
          <w:b w:val="0"/>
          <w:sz w:val="20"/>
          <w:szCs w:val="20"/>
        </w:rPr>
        <w:t>”</w:t>
      </w:r>
      <w:r w:rsidRPr="00597438">
        <w:rPr>
          <w:b w:val="0"/>
          <w:sz w:val="20"/>
          <w:szCs w:val="20"/>
        </w:rPr>
        <w:t xml:space="preserve"> sağlandığından, yazılım için destek hizmeti veremeyebiliriz.</w:t>
      </w:r>
    </w:p>
    <w:p w:rsidR="003807C8" w:rsidRPr="00597438" w:rsidRDefault="003807C8" w:rsidP="0079095C">
      <w:pPr>
        <w:pStyle w:val="Heading1"/>
        <w:tabs>
          <w:tab w:val="num" w:pos="360"/>
        </w:tabs>
        <w:spacing w:before="0" w:after="160"/>
        <w:ind w:left="360" w:hanging="360"/>
        <w:rPr>
          <w:sz w:val="20"/>
          <w:szCs w:val="20"/>
        </w:rPr>
      </w:pPr>
      <w:r w:rsidRPr="00597438">
        <w:rPr>
          <w:sz w:val="20"/>
          <w:szCs w:val="20"/>
        </w:rPr>
        <w:t xml:space="preserve">ANLAŞMANIN TAMAMI. </w:t>
      </w:r>
      <w:r w:rsidRPr="00597438">
        <w:rPr>
          <w:b w:val="0"/>
          <w:sz w:val="20"/>
          <w:szCs w:val="20"/>
        </w:rPr>
        <w:t>Bu anlaşma ve eklerin, güncelleştirmelerin, internet tabanlı hizmetlerin ve kullandığınız destek hizmetlerinin şartları, yazılım ve destek hizmetlerine yönelik anlaşmanın tamamını oluşturur.</w:t>
      </w:r>
    </w:p>
    <w:p w:rsidR="008113AA" w:rsidRPr="00597438" w:rsidRDefault="009A7A15" w:rsidP="0079095C">
      <w:pPr>
        <w:pStyle w:val="Heading1"/>
        <w:tabs>
          <w:tab w:val="num" w:pos="360"/>
        </w:tabs>
        <w:spacing w:before="0" w:after="160"/>
        <w:ind w:left="360" w:hanging="360"/>
        <w:rPr>
          <w:sz w:val="20"/>
          <w:szCs w:val="20"/>
        </w:rPr>
      </w:pPr>
      <w:r w:rsidRPr="00597438">
        <w:rPr>
          <w:sz w:val="20"/>
          <w:szCs w:val="20"/>
        </w:rPr>
        <w:t xml:space="preserve">İHRACAT SINIRLAMALARI. </w:t>
      </w:r>
      <w:r w:rsidRPr="00597438">
        <w:rPr>
          <w:b w:val="0"/>
          <w:sz w:val="20"/>
          <w:szCs w:val="20"/>
        </w:rPr>
        <w:t xml:space="preserve">Hedef yer, son kullanıcı ve son kullanım sınırlamalarını da içeren, yazılım konusunda geçerli olan tüm yurtiçi ve uluslararası ihracat yasalarına ve yönetmeliklerine uygun şekilde davranmanız gerekir. İhracat kısıtlamalarıyla ilgili daha fazla bilgi için, </w:t>
      </w:r>
      <w:hyperlink w:history="1">
        <w:r w:rsidRPr="00597438">
          <w:rPr>
            <w:rStyle w:val="Hyperlink"/>
            <w:rFonts w:eastAsia="SimSun" w:cs="Tahoma"/>
            <w:b w:val="0"/>
            <w:bCs w:val="0"/>
            <w:sz w:val="20"/>
            <w:szCs w:val="20"/>
          </w:rPr>
          <w:t>www.microsoft.com/exporting</w:t>
        </w:r>
      </w:hyperlink>
      <w:r w:rsidRPr="00597438">
        <w:rPr>
          <w:rFonts w:eastAsia="SimSun"/>
          <w:b w:val="0"/>
          <w:bCs w:val="0"/>
          <w:sz w:val="20"/>
          <w:szCs w:val="20"/>
        </w:rPr>
        <w:t xml:space="preserve"> adresini ziyaret edin.</w:t>
      </w:r>
    </w:p>
    <w:p w:rsidR="008113AA" w:rsidRPr="00E35605" w:rsidRDefault="009A7A15">
      <w:pPr>
        <w:pStyle w:val="Heading1"/>
        <w:widowControl w:val="0"/>
        <w:ind w:left="360" w:hanging="360"/>
      </w:pPr>
      <w:r>
        <w:rPr>
          <w:rFonts w:eastAsia="SimSun"/>
          <w:caps/>
          <w:sz w:val="20"/>
          <w:szCs w:val="20"/>
        </w:rPr>
        <w:t>İlgili Yasalar</w:t>
      </w:r>
      <w:r>
        <w:rPr>
          <w:rFonts w:eastAsia="SimSun"/>
          <w:sz w:val="20"/>
          <w:szCs w:val="20"/>
        </w:rPr>
        <w:t>.</w:t>
      </w:r>
      <w:r>
        <w:rPr>
          <w:rFonts w:eastAsia="SimSun"/>
          <w:b w:val="0"/>
          <w:bCs w:val="0"/>
          <w:sz w:val="20"/>
          <w:szCs w:val="20"/>
        </w:rPr>
        <w:t xml:space="preserve"> 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rsidR="00853C20" w:rsidRPr="00E35605" w:rsidRDefault="00853C20" w:rsidP="0079095C">
      <w:pPr>
        <w:pStyle w:val="Heading1"/>
        <w:widowControl w:val="0"/>
        <w:ind w:left="360" w:hanging="360"/>
      </w:pPr>
      <w:r>
        <w:rPr>
          <w:sz w:val="20"/>
          <w:szCs w:val="20"/>
        </w:rPr>
        <w:t xml:space="preserve">TÜKETİCİ HAKLARI, BÖLGESEL DEĞİŞİMLER. </w:t>
      </w:r>
      <w:r>
        <w:rPr>
          <w:b w:val="0"/>
          <w:sz w:val="20"/>
          <w:szCs w:val="2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853C20" w:rsidRPr="00E35605" w:rsidRDefault="00853C20" w:rsidP="00560275">
      <w:pPr>
        <w:pStyle w:val="Heading2"/>
        <w:numPr>
          <w:ilvl w:val="0"/>
          <w:numId w:val="13"/>
        </w:numPr>
      </w:pPr>
      <w:r>
        <w:rPr>
          <w:sz w:val="20"/>
          <w:szCs w:val="20"/>
        </w:rPr>
        <w:t xml:space="preserve">Avustralya. </w:t>
      </w:r>
      <w:r>
        <w:rPr>
          <w:b w:val="0"/>
          <w:sz w:val="20"/>
          <w:szCs w:val="20"/>
        </w:rPr>
        <w:t>Avustralya Tüketici Yasası kapsamında kanuni garantileriniz bulunmaktadır ve bu anlaşmadaki hiçbir şey, bu hakları etkilemeyi amaçlamaz.</w:t>
      </w:r>
    </w:p>
    <w:p w:rsidR="00853C20" w:rsidRPr="00E35605" w:rsidRDefault="00853C20" w:rsidP="00560275">
      <w:pPr>
        <w:pStyle w:val="Heading2"/>
        <w:numPr>
          <w:ilvl w:val="0"/>
          <w:numId w:val="13"/>
        </w:numPr>
      </w:pPr>
      <w:r>
        <w:rPr>
          <w:sz w:val="20"/>
          <w:szCs w:val="20"/>
        </w:rPr>
        <w:t xml:space="preserve">Kanada. </w:t>
      </w:r>
      <w:r>
        <w:rPr>
          <w:b w:val="0"/>
          <w:sz w:val="20"/>
          <w:szCs w:val="20"/>
        </w:rPr>
        <w:t xml:space="preserve">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w:t>
      </w:r>
      <w:r>
        <w:rPr>
          <w:b w:val="0"/>
          <w:sz w:val="20"/>
          <w:szCs w:val="20"/>
        </w:rPr>
        <w:lastRenderedPageBreak/>
        <w:t>de elinizde bulunan cihazın veya yazılımın güncelleştirmelerini kapatmaya ilişkin açıklamalara yer verebilir.</w:t>
      </w:r>
    </w:p>
    <w:p w:rsidR="00853C20" w:rsidRPr="00E35605" w:rsidRDefault="00853C20" w:rsidP="00560275">
      <w:pPr>
        <w:pStyle w:val="Heading2"/>
        <w:numPr>
          <w:ilvl w:val="0"/>
          <w:numId w:val="13"/>
        </w:numPr>
      </w:pPr>
      <w:r>
        <w:rPr>
          <w:sz w:val="20"/>
          <w:szCs w:val="20"/>
        </w:rPr>
        <w:t>Almanya ve Avusturya</w:t>
      </w:r>
      <w:r w:rsidRPr="00F92826">
        <w:rPr>
          <w:bCs w:val="0"/>
          <w:sz w:val="20"/>
          <w:szCs w:val="20"/>
        </w:rPr>
        <w:t>.</w:t>
      </w:r>
    </w:p>
    <w:p w:rsidR="00853C20" w:rsidRPr="00E35605" w:rsidRDefault="00853C20" w:rsidP="00853C20">
      <w:pPr>
        <w:ind w:left="717"/>
      </w:pPr>
      <w:r>
        <w:rPr>
          <w:b/>
          <w:sz w:val="20"/>
          <w:szCs w:val="20"/>
        </w:rPr>
        <w:t>(i)</w:t>
      </w:r>
      <w:r>
        <w:rPr>
          <w:sz w:val="20"/>
          <w:szCs w:val="20"/>
        </w:rPr>
        <w:tab/>
      </w:r>
      <w:r>
        <w:rPr>
          <w:b/>
          <w:sz w:val="20"/>
          <w:szCs w:val="20"/>
        </w:rPr>
        <w:t>Garanti</w:t>
      </w:r>
      <w:r w:rsidRPr="00F92826">
        <w:rPr>
          <w:b/>
          <w:bCs/>
          <w:sz w:val="20"/>
          <w:szCs w:val="20"/>
        </w:rPr>
        <w:t>.</w:t>
      </w:r>
      <w:r>
        <w:rPr>
          <w:sz w:val="20"/>
          <w:szCs w:val="20"/>
        </w:rP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rsidR="00853C20" w:rsidRPr="00E35605" w:rsidRDefault="00853C20" w:rsidP="00853C20">
      <w:pPr>
        <w:ind w:left="717"/>
      </w:pPr>
      <w:r>
        <w:rPr>
          <w:b/>
          <w:sz w:val="20"/>
          <w:szCs w:val="20"/>
        </w:rPr>
        <w:t>(ii)</w:t>
      </w:r>
      <w:r>
        <w:rPr>
          <w:sz w:val="20"/>
          <w:szCs w:val="20"/>
        </w:rPr>
        <w:tab/>
      </w:r>
      <w:r>
        <w:rPr>
          <w:b/>
          <w:sz w:val="20"/>
          <w:szCs w:val="20"/>
        </w:rPr>
        <w:t>Sorumluluğun Sınırlandırılması</w:t>
      </w:r>
      <w:r w:rsidRPr="00F92826">
        <w:rPr>
          <w:b/>
          <w:bCs/>
          <w:sz w:val="20"/>
          <w:szCs w:val="20"/>
        </w:rPr>
        <w:t>.</w:t>
      </w:r>
      <w:r>
        <w:rPr>
          <w:sz w:val="20"/>
          <w:szCs w:val="20"/>
        </w:rPr>
        <w:t xml:space="preserve"> Kasıtlı davranışın, ağır ihmalin, Ürün Sorumluluğu Kanununa dayalı iddiaların yanı sıra, can kaybı veya kişisel veya fiziksel yaralanma durumunda Microsoft, kanun uyarınca olarak sorumlu olur.</w:t>
      </w:r>
    </w:p>
    <w:p w:rsidR="00853C20" w:rsidRPr="00E35605" w:rsidRDefault="00853C20" w:rsidP="00F92826">
      <w:pPr>
        <w:pStyle w:val="Heading1"/>
        <w:numPr>
          <w:ilvl w:val="0"/>
          <w:numId w:val="0"/>
        </w:numPr>
        <w:ind w:left="717"/>
      </w:pPr>
      <w:r>
        <w:rPr>
          <w:b w:val="0"/>
          <w:sz w:val="20"/>
          <w:szCs w:val="20"/>
        </w:rPr>
        <w:t xml:space="preserve">Yukarıda anılan (ii) maddesine tabi olmak üzere Microsoft'un sözleşme yükümlülüklerini ciddi biçimde ihlal etmesi ve bu yükümlülüklerin yerine getirilmesinin anlaşmanın tam ifasına olanak sağlayacak, ihlalinin bu anlaşmanın amacını tehlikeye düşürecek ve bunlara uygunluğa bir tarafın sürekli güvenmesini sağlayacak nitelikte (kısaca </w:t>
      </w:r>
      <w:r w:rsidR="00F92826">
        <w:rPr>
          <w:b w:val="0"/>
          <w:sz w:val="20"/>
          <w:szCs w:val="20"/>
        </w:rPr>
        <w:t>“</w:t>
      </w:r>
      <w:r>
        <w:rPr>
          <w:b w:val="0"/>
          <w:sz w:val="20"/>
          <w:szCs w:val="20"/>
        </w:rPr>
        <w:t>temel yükümlülükler</w:t>
      </w:r>
      <w:r w:rsidR="00F92826">
        <w:rPr>
          <w:b w:val="0"/>
          <w:sz w:val="20"/>
          <w:szCs w:val="20"/>
        </w:rPr>
        <w:t>”</w:t>
      </w:r>
      <w:r>
        <w:rPr>
          <w:b w:val="0"/>
          <w:sz w:val="20"/>
          <w:szCs w:val="20"/>
        </w:rPr>
        <w:t>) olması durumunda Microsoft, yalnızca hafif ihmal için sorumlu olacaktır. Diğer hafif ihmal hallerinde, Microsoft'un hafif ihmaller ile ilgili yükümlülüğü bulunmayacaktır.</w:t>
      </w:r>
    </w:p>
    <w:p w:rsidR="008113AA" w:rsidRPr="00E35605" w:rsidRDefault="009A7A15" w:rsidP="003749FC">
      <w:pPr>
        <w:pStyle w:val="Heading1"/>
        <w:widowControl w:val="0"/>
        <w:ind w:left="360" w:hanging="360"/>
      </w:pPr>
      <w:r>
        <w:rPr>
          <w:rFonts w:eastAsia="SimSun"/>
          <w:caps/>
          <w:sz w:val="20"/>
          <w:szCs w:val="20"/>
        </w:rPr>
        <w:t>Garanti Reddi Beyanı.</w:t>
      </w:r>
      <w:r>
        <w:rPr>
          <w:rFonts w:eastAsia="SimSun"/>
          <w:sz w:val="20"/>
          <w:szCs w:val="20"/>
        </w:rPr>
        <w:t xml:space="preserve"> </w:t>
      </w:r>
      <w:r>
        <w:rPr>
          <w:rFonts w:eastAsia="SimSun"/>
          <w:caps/>
          <w:sz w:val="20"/>
          <w:szCs w:val="20"/>
        </w:rPr>
        <w:t xml:space="preserve">Yazılımın lisansı </w:t>
      </w:r>
      <w:r w:rsidR="003749FC">
        <w:rPr>
          <w:rFonts w:eastAsia="SimSun"/>
          <w:caps/>
          <w:sz w:val="20"/>
          <w:szCs w:val="20"/>
        </w:rPr>
        <w:t>“</w:t>
      </w:r>
      <w:r>
        <w:rPr>
          <w:rFonts w:eastAsia="SimSun"/>
          <w:caps/>
          <w:sz w:val="20"/>
          <w:szCs w:val="20"/>
        </w:rPr>
        <w:t>olduğu gibi</w:t>
      </w:r>
      <w:r w:rsidR="003749FC">
        <w:rPr>
          <w:rFonts w:eastAsia="SimSun"/>
          <w:caps/>
          <w:sz w:val="20"/>
          <w:szCs w:val="20"/>
        </w:rPr>
        <w:t>”</w:t>
      </w:r>
      <w:r>
        <w:rPr>
          <w:rFonts w:eastAsia="SimSun"/>
          <w:caps/>
          <w:sz w:val="20"/>
          <w:szCs w:val="20"/>
        </w:rPr>
        <w:t xml:space="preserve"> verilmektedir. Yazılımın kullanımına ilişkin riskler tarafınızdan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rsidR="008113AA" w:rsidRPr="00E35605" w:rsidRDefault="009A7A15">
      <w:pPr>
        <w:pStyle w:val="Heading1"/>
        <w:widowControl w:val="0"/>
        <w:ind w:left="360" w:hanging="360"/>
      </w:pPr>
      <w:r>
        <w:rPr>
          <w:rFonts w:eastAsia="SimSun"/>
          <w:caps/>
          <w:sz w:val="20"/>
          <w:szCs w:val="20"/>
        </w:rPr>
        <w:t>Zararların Sınırlandırılması ve Hariç Tutulması. Microsoft ve tedarikçilerinden, 5,00 ABD Doları'na kadar doğrudan zararları geri alabilirsiniz. Neticede oluşan, kar kaybı, özel, dolaylı veya müsbet zararlarla bağlantılı zararlar dâhil diğer zararları telafi edemezsiniz.</w:t>
      </w:r>
    </w:p>
    <w:p w:rsidR="008113AA" w:rsidRPr="00E35605" w:rsidRDefault="009A7A15" w:rsidP="00C42026">
      <w:pPr>
        <w:pStyle w:val="Body1"/>
        <w:widowControl w:val="0"/>
      </w:pPr>
      <w:r>
        <w:rPr>
          <w:rFonts w:eastAsia="SimSun"/>
          <w:sz w:val="20"/>
          <w:szCs w:val="20"/>
        </w:rP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rsidR="008113AA" w:rsidRPr="00E35605" w:rsidRDefault="009A7A15">
      <w:pPr>
        <w:widowControl w:val="0"/>
        <w:ind w:left="360"/>
      </w:pPr>
      <w:r>
        <w:rPr>
          <w:rFonts w:eastAsia="SimSun"/>
          <w:sz w:val="20"/>
          <w:szCs w:val="20"/>
        </w:rPr>
        <w:t>Bu sınırlama, Microsoft'un zararın oluşma olasılığını bilmesi veya bilmesinin gerekmesi halinde de geçerlidir. Yukarıdaki sınırlama veya hariç tutma, ülkeniz arızi, neticede oluşan veya diğer zararların sınırlanmasına veya hariç tutulmasına izin vermediği takdirde sizin için geçerli olmayabilir.</w:t>
      </w:r>
    </w:p>
    <w:p w:rsidR="00FD09DF" w:rsidRPr="00E35605" w:rsidRDefault="00FD09DF">
      <w:pPr>
        <w:widowControl w:val="0"/>
        <w:ind w:left="360"/>
      </w:pPr>
    </w:p>
    <w:p w:rsidR="00FD09DF" w:rsidRPr="00B06D5C" w:rsidRDefault="00C16E51" w:rsidP="00C16E51">
      <w:pPr>
        <w:spacing w:before="0" w:after="160"/>
        <w:ind w:firstLine="360"/>
        <w:rPr>
          <w:rStyle w:val="LogoportDoNotTranslate"/>
        </w:rPr>
      </w:pPr>
      <w:r>
        <w:rPr>
          <w:rFonts w:eastAsia="Times New Roman"/>
          <w:color w:val="000000"/>
        </w:rPr>
        <w:t xml:space="preserve">EULAID: </w:t>
      </w:r>
      <w:r w:rsidRPr="00C65640">
        <w:rPr>
          <w:rFonts w:eastAsia="Times New Roman"/>
          <w:color w:val="1F3864"/>
          <w:lang w:val="en-US"/>
        </w:rPr>
        <w:t>VS2017_CTP_EVAL_VSEXPRESS</w:t>
      </w:r>
      <w:r>
        <w:rPr>
          <w:rFonts w:eastAsia="Times New Roman"/>
          <w:color w:val="1F3864"/>
        </w:rPr>
        <w:t>_TRK</w:t>
      </w:r>
      <w:r w:rsidR="00751DE0">
        <w:rPr>
          <w:rStyle w:val="LogoportDoNotTranslate"/>
        </w:rPr>
        <w:t xml:space="preserve"> </w:t>
      </w:r>
    </w:p>
    <w:p w:rsidR="00FD09DF" w:rsidRPr="00E35605" w:rsidRDefault="00FD09DF">
      <w:pPr>
        <w:widowControl w:val="0"/>
        <w:ind w:left="360"/>
      </w:pPr>
    </w:p>
    <w:sectPr w:rsidR="00FD09DF" w:rsidRPr="00E35605"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87" w:rsidRDefault="008C4187">
      <w:pPr>
        <w:rPr>
          <w:rFonts w:cs="Times New Roman"/>
        </w:rPr>
      </w:pPr>
      <w:r>
        <w:rPr>
          <w:rFonts w:cs="Times New Roman"/>
        </w:rPr>
        <w:separator/>
      </w:r>
    </w:p>
  </w:endnote>
  <w:endnote w:type="continuationSeparator" w:id="0">
    <w:p w:rsidR="008C4187" w:rsidRDefault="008C4187">
      <w:pPr>
        <w:rPr>
          <w:rFonts w:cs="Times New Roman"/>
        </w:rPr>
      </w:pPr>
      <w:r>
        <w:rPr>
          <w:rFonts w:cs="Times New Roman"/>
        </w:rPr>
        <w:continuationSeparator/>
      </w:r>
    </w:p>
  </w:endnote>
  <w:endnote w:type="continuationNotice" w:id="1">
    <w:p w:rsidR="008C4187" w:rsidRDefault="008C41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87" w:rsidRDefault="008C4187">
      <w:pPr>
        <w:rPr>
          <w:rFonts w:cs="Times New Roman"/>
        </w:rPr>
      </w:pPr>
      <w:r>
        <w:rPr>
          <w:rFonts w:cs="Times New Roman"/>
        </w:rPr>
        <w:separator/>
      </w:r>
    </w:p>
  </w:footnote>
  <w:footnote w:type="continuationSeparator" w:id="0">
    <w:p w:rsidR="008C4187" w:rsidRDefault="008C4187">
      <w:pPr>
        <w:rPr>
          <w:rFonts w:cs="Times New Roman"/>
        </w:rPr>
      </w:pPr>
      <w:r>
        <w:rPr>
          <w:rFonts w:cs="Times New Roman"/>
        </w:rPr>
        <w:continuationSeparator/>
      </w:r>
    </w:p>
  </w:footnote>
  <w:footnote w:type="continuationNotice" w:id="1">
    <w:p w:rsidR="008C4187" w:rsidRDefault="008C418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5F966F8A"/>
    <w:lvl w:ilvl="0" w:tplc="6824BF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3F527DC0"/>
    <w:lvl w:ilvl="0" w:tplc="B11AA5F6">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450"/>
        </w:tabs>
        <w:ind w:left="450" w:hanging="363"/>
      </w:pPr>
      <w:rPr>
        <w:rFonts w:ascii="Tahoma" w:hAnsi="Tahoma" w:cs="Tahoma" w:hint="default"/>
        <w:b/>
        <w:bCs/>
        <w:i w:val="0"/>
        <w:iCs w:val="0"/>
        <w:sz w:val="20"/>
        <w:szCs w:val="20"/>
      </w:rPr>
    </w:lvl>
    <w:lvl w:ilvl="2">
      <w:start w:val="1"/>
      <w:numFmt w:val="lowerRoman"/>
      <w:pStyle w:val="Heading3"/>
      <w:lvlText w:val="%3."/>
      <w:lvlJc w:val="left"/>
      <w:pPr>
        <w:tabs>
          <w:tab w:val="num" w:pos="1170"/>
        </w:tabs>
        <w:ind w:left="807" w:hanging="357"/>
      </w:pPr>
      <w:rPr>
        <w:rFonts w:ascii="Tahoma" w:hAnsi="Tahoma" w:cs="Tahoma" w:hint="default"/>
        <w:b/>
        <w:bCs/>
        <w:i w:val="0"/>
        <w:iCs w:val="0"/>
        <w:sz w:val="20"/>
        <w:szCs w:val="20"/>
      </w:rPr>
    </w:lvl>
    <w:lvl w:ilvl="3">
      <w:start w:val="1"/>
      <w:numFmt w:val="upperLetter"/>
      <w:pStyle w:val="Heading4"/>
      <w:lvlText w:val="%4."/>
      <w:lvlJc w:val="left"/>
      <w:pPr>
        <w:tabs>
          <w:tab w:val="num" w:pos="1167"/>
        </w:tabs>
        <w:ind w:left="116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1885"/>
        </w:tabs>
        <w:ind w:left="152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1882"/>
        </w:tabs>
        <w:ind w:left="187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239"/>
        </w:tabs>
        <w:ind w:left="223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596"/>
        </w:tabs>
        <w:ind w:left="259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2953"/>
        </w:tabs>
        <w:ind w:left="295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9C0A9ABA"/>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8774F97C"/>
    <w:lvl w:ilvl="0" w:tplc="95822CE0">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97D409A0"/>
    <w:lvl w:ilvl="0" w:tplc="B6F0B67E">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2F567400"/>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263F1"/>
    <w:rsid w:val="00031BF9"/>
    <w:rsid w:val="000345BB"/>
    <w:rsid w:val="000552D0"/>
    <w:rsid w:val="00060D0F"/>
    <w:rsid w:val="00064E2E"/>
    <w:rsid w:val="00077614"/>
    <w:rsid w:val="0009229E"/>
    <w:rsid w:val="000A37AF"/>
    <w:rsid w:val="000B56EF"/>
    <w:rsid w:val="000B71E5"/>
    <w:rsid w:val="000C0F25"/>
    <w:rsid w:val="000C180E"/>
    <w:rsid w:val="000C751A"/>
    <w:rsid w:val="000D17FA"/>
    <w:rsid w:val="000E13E4"/>
    <w:rsid w:val="001142D7"/>
    <w:rsid w:val="0011594A"/>
    <w:rsid w:val="001239DC"/>
    <w:rsid w:val="00146601"/>
    <w:rsid w:val="00166154"/>
    <w:rsid w:val="00167678"/>
    <w:rsid w:val="001835DB"/>
    <w:rsid w:val="00187337"/>
    <w:rsid w:val="00192FFA"/>
    <w:rsid w:val="0019306D"/>
    <w:rsid w:val="001A0177"/>
    <w:rsid w:val="001B4E80"/>
    <w:rsid w:val="001B7DF9"/>
    <w:rsid w:val="001D3C9B"/>
    <w:rsid w:val="001E2F72"/>
    <w:rsid w:val="001E3B09"/>
    <w:rsid w:val="001F0BCB"/>
    <w:rsid w:val="00202D7D"/>
    <w:rsid w:val="00202EF2"/>
    <w:rsid w:val="00217A4A"/>
    <w:rsid w:val="00223D71"/>
    <w:rsid w:val="00235549"/>
    <w:rsid w:val="00236BF0"/>
    <w:rsid w:val="0027286B"/>
    <w:rsid w:val="0029649D"/>
    <w:rsid w:val="002A64BE"/>
    <w:rsid w:val="002B6D18"/>
    <w:rsid w:val="002C32BE"/>
    <w:rsid w:val="002E321C"/>
    <w:rsid w:val="003051A3"/>
    <w:rsid w:val="00322B1C"/>
    <w:rsid w:val="00325798"/>
    <w:rsid w:val="00334A0B"/>
    <w:rsid w:val="0034491A"/>
    <w:rsid w:val="003619A7"/>
    <w:rsid w:val="00365B76"/>
    <w:rsid w:val="003749FC"/>
    <w:rsid w:val="00374BA6"/>
    <w:rsid w:val="00375046"/>
    <w:rsid w:val="003807C8"/>
    <w:rsid w:val="00386BEC"/>
    <w:rsid w:val="003A0255"/>
    <w:rsid w:val="003A191E"/>
    <w:rsid w:val="003A2E4F"/>
    <w:rsid w:val="003A3DA8"/>
    <w:rsid w:val="003B0D0C"/>
    <w:rsid w:val="003D216D"/>
    <w:rsid w:val="003E5808"/>
    <w:rsid w:val="0041289D"/>
    <w:rsid w:val="00417C8B"/>
    <w:rsid w:val="00434D7C"/>
    <w:rsid w:val="004838CC"/>
    <w:rsid w:val="004B60A8"/>
    <w:rsid w:val="004D340E"/>
    <w:rsid w:val="004E4F61"/>
    <w:rsid w:val="005125FA"/>
    <w:rsid w:val="005137FF"/>
    <w:rsid w:val="00560275"/>
    <w:rsid w:val="00583420"/>
    <w:rsid w:val="00596398"/>
    <w:rsid w:val="00597438"/>
    <w:rsid w:val="005A04EE"/>
    <w:rsid w:val="005A6956"/>
    <w:rsid w:val="005B6BE3"/>
    <w:rsid w:val="005C5373"/>
    <w:rsid w:val="005C7F46"/>
    <w:rsid w:val="005D0983"/>
    <w:rsid w:val="005D6CBC"/>
    <w:rsid w:val="005E64EC"/>
    <w:rsid w:val="00602E1F"/>
    <w:rsid w:val="006320D3"/>
    <w:rsid w:val="00640797"/>
    <w:rsid w:val="00645AED"/>
    <w:rsid w:val="0064695A"/>
    <w:rsid w:val="00652D03"/>
    <w:rsid w:val="0065335A"/>
    <w:rsid w:val="00653EA2"/>
    <w:rsid w:val="006A1BE9"/>
    <w:rsid w:val="006B3871"/>
    <w:rsid w:val="006C30E2"/>
    <w:rsid w:val="006C4622"/>
    <w:rsid w:val="006C729C"/>
    <w:rsid w:val="006E29E8"/>
    <w:rsid w:val="006F0F1C"/>
    <w:rsid w:val="006F6021"/>
    <w:rsid w:val="007036AF"/>
    <w:rsid w:val="00706849"/>
    <w:rsid w:val="0071197D"/>
    <w:rsid w:val="007241CD"/>
    <w:rsid w:val="00731553"/>
    <w:rsid w:val="007424B2"/>
    <w:rsid w:val="0075089C"/>
    <w:rsid w:val="00751DE0"/>
    <w:rsid w:val="00752D77"/>
    <w:rsid w:val="00753B32"/>
    <w:rsid w:val="007557B8"/>
    <w:rsid w:val="007651A9"/>
    <w:rsid w:val="007675A0"/>
    <w:rsid w:val="00780718"/>
    <w:rsid w:val="00781642"/>
    <w:rsid w:val="007869AA"/>
    <w:rsid w:val="0079095C"/>
    <w:rsid w:val="007A1B5B"/>
    <w:rsid w:val="007C22B7"/>
    <w:rsid w:val="007D538D"/>
    <w:rsid w:val="007E0E07"/>
    <w:rsid w:val="00801C57"/>
    <w:rsid w:val="008113AA"/>
    <w:rsid w:val="00814E6E"/>
    <w:rsid w:val="00825795"/>
    <w:rsid w:val="00830E90"/>
    <w:rsid w:val="00846A23"/>
    <w:rsid w:val="00853C20"/>
    <w:rsid w:val="008602E2"/>
    <w:rsid w:val="008650AE"/>
    <w:rsid w:val="0087460C"/>
    <w:rsid w:val="008B3CC8"/>
    <w:rsid w:val="008C4187"/>
    <w:rsid w:val="008D43AA"/>
    <w:rsid w:val="008E0465"/>
    <w:rsid w:val="008E2E90"/>
    <w:rsid w:val="008E7BE2"/>
    <w:rsid w:val="008E7E47"/>
    <w:rsid w:val="00936226"/>
    <w:rsid w:val="00953738"/>
    <w:rsid w:val="00955A3A"/>
    <w:rsid w:val="009769B6"/>
    <w:rsid w:val="0098154B"/>
    <w:rsid w:val="009A7A15"/>
    <w:rsid w:val="009B7003"/>
    <w:rsid w:val="009C5DC1"/>
    <w:rsid w:val="009F52C4"/>
    <w:rsid w:val="00A16F91"/>
    <w:rsid w:val="00A23E0A"/>
    <w:rsid w:val="00A8451A"/>
    <w:rsid w:val="00A9074D"/>
    <w:rsid w:val="00A920A1"/>
    <w:rsid w:val="00AA1C55"/>
    <w:rsid w:val="00AB0EF0"/>
    <w:rsid w:val="00AB465B"/>
    <w:rsid w:val="00AC6E1F"/>
    <w:rsid w:val="00AD30A2"/>
    <w:rsid w:val="00AD3FA5"/>
    <w:rsid w:val="00AD7B4D"/>
    <w:rsid w:val="00AE4E5D"/>
    <w:rsid w:val="00B06D5C"/>
    <w:rsid w:val="00B107BD"/>
    <w:rsid w:val="00B10D0B"/>
    <w:rsid w:val="00B171C1"/>
    <w:rsid w:val="00B212A3"/>
    <w:rsid w:val="00B23485"/>
    <w:rsid w:val="00B248EB"/>
    <w:rsid w:val="00B27648"/>
    <w:rsid w:val="00B406D0"/>
    <w:rsid w:val="00B63B53"/>
    <w:rsid w:val="00B6793C"/>
    <w:rsid w:val="00B8177F"/>
    <w:rsid w:val="00B85B59"/>
    <w:rsid w:val="00B862E9"/>
    <w:rsid w:val="00B911BD"/>
    <w:rsid w:val="00BA00E0"/>
    <w:rsid w:val="00BB3EF0"/>
    <w:rsid w:val="00BC010C"/>
    <w:rsid w:val="00BD648E"/>
    <w:rsid w:val="00BE609E"/>
    <w:rsid w:val="00BF28B7"/>
    <w:rsid w:val="00BF4C6A"/>
    <w:rsid w:val="00C020DD"/>
    <w:rsid w:val="00C048CA"/>
    <w:rsid w:val="00C049C7"/>
    <w:rsid w:val="00C06DFF"/>
    <w:rsid w:val="00C16E51"/>
    <w:rsid w:val="00C23EB4"/>
    <w:rsid w:val="00C42026"/>
    <w:rsid w:val="00C459D5"/>
    <w:rsid w:val="00C618A3"/>
    <w:rsid w:val="00C65640"/>
    <w:rsid w:val="00C703AC"/>
    <w:rsid w:val="00C95C5C"/>
    <w:rsid w:val="00CE294C"/>
    <w:rsid w:val="00CE40C8"/>
    <w:rsid w:val="00CE51D8"/>
    <w:rsid w:val="00CF225F"/>
    <w:rsid w:val="00CF2973"/>
    <w:rsid w:val="00D12EA1"/>
    <w:rsid w:val="00D308DB"/>
    <w:rsid w:val="00D43A46"/>
    <w:rsid w:val="00D46573"/>
    <w:rsid w:val="00D72ED5"/>
    <w:rsid w:val="00D84062"/>
    <w:rsid w:val="00D9209F"/>
    <w:rsid w:val="00D93916"/>
    <w:rsid w:val="00DC582F"/>
    <w:rsid w:val="00DF386E"/>
    <w:rsid w:val="00DF6FF3"/>
    <w:rsid w:val="00E02845"/>
    <w:rsid w:val="00E12EE0"/>
    <w:rsid w:val="00E14A13"/>
    <w:rsid w:val="00E258E2"/>
    <w:rsid w:val="00E25FF6"/>
    <w:rsid w:val="00E26362"/>
    <w:rsid w:val="00E312B4"/>
    <w:rsid w:val="00E35605"/>
    <w:rsid w:val="00E45DB9"/>
    <w:rsid w:val="00E502B5"/>
    <w:rsid w:val="00E50423"/>
    <w:rsid w:val="00E57AEA"/>
    <w:rsid w:val="00E74C07"/>
    <w:rsid w:val="00E81F8A"/>
    <w:rsid w:val="00E92598"/>
    <w:rsid w:val="00E94B45"/>
    <w:rsid w:val="00EC1857"/>
    <w:rsid w:val="00EE1666"/>
    <w:rsid w:val="00F01A36"/>
    <w:rsid w:val="00F1095B"/>
    <w:rsid w:val="00F1738C"/>
    <w:rsid w:val="00F31717"/>
    <w:rsid w:val="00F31A21"/>
    <w:rsid w:val="00F353FC"/>
    <w:rsid w:val="00F3654D"/>
    <w:rsid w:val="00F371B9"/>
    <w:rsid w:val="00F72057"/>
    <w:rsid w:val="00F92826"/>
    <w:rsid w:val="00F9625D"/>
    <w:rsid w:val="00FA18A8"/>
    <w:rsid w:val="00FC0DE1"/>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tr-TR" w:eastAsia="tr-TR" w:bidi="tr-T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tr-TR" w:eastAsia="tr-TR" w:bidi="tr-TR"/>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microsoft.com/fwlink/?LinkID=824704" TargetMode="External"/><Relationship Id="rId4" Type="http://schemas.openxmlformats.org/officeDocument/2006/relationships/settings" Target="settings.xml"/><Relationship Id="rId9" Type="http://schemas.openxmlformats.org/officeDocument/2006/relationships/hyperlink" Target="https://go.microsoft.com/fwlink/?LinkId=823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2017-07-21T20:24:00Z</dcterms:created>
  <dcterms:modified xsi:type="dcterms:W3CDTF">2017-07-27T18:14:00Z</dcterms:modified>
</cp:coreProperties>
</file>