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TÉRMINOS DE LA LICENCIA DE SOFTWARE DE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Y EDICIÓN DE PRUEBA</w:t>
      </w:r>
    </w:p>
    <w:p w:rsidR="00431D2B" w:rsidRPr="00A16BD5" w:rsidRDefault="00431D2B" w:rsidP="0005493C">
      <w:pPr>
        <w:rPr>
          <w:rFonts w:eastAsia="SimSun"/>
        </w:rPr>
      </w:pPr>
      <w:r>
        <w:t xml:space="preserve">Estos términos de licencia constituyen un contrato entre usted y Microsoft Corporation (o, en función de donde resida, una de sus filiales). Se aplican al software antes mencionado. Los términos también se aplican a cualquier servicio y actualización de Microsoft para el software, excepto en la medida que tengan términos diferentes. </w:t>
      </w:r>
    </w:p>
    <w:p w:rsidR="00431D2B" w:rsidRPr="00A16BD5" w:rsidRDefault="00431D2B" w:rsidP="0005493C">
      <w:pPr>
        <w:pStyle w:val="Preamble"/>
        <w:widowControl w:val="0"/>
        <w:spacing w:before="0" w:after="0"/>
        <w:rPr>
          <w:rFonts w:eastAsia="SimSun"/>
        </w:rPr>
      </w:pPr>
      <w:r>
        <w:t>AL HACER USO DEL SOFTWARE, ESTARÁ ACEPTANDO ESTOS TÉRMINOS. SI NO LOS ACEPTA, NO UTILICE EL SOFTWARE. EN CAMBIO, DEVUÉLVALO AL DISTRIBUIDOR PARA OBTENER UN REEMBOLSO O CRÉDITO.</w:t>
      </w:r>
      <w:r>
        <w:rPr>
          <w:b w:val="0"/>
          <w:bCs w:val="0"/>
        </w:rPr>
        <w:t xml:space="preserve"> Si no puede obtener un reembolso del distribuidor, póngase en contacto con Microsoft para conocer las políticas de reembolso de Microsoft Consulte </w:t>
      </w:r>
      <w:r>
        <w:rPr>
          <w:rStyle w:val="Hyperlink"/>
          <w:b w:val="0"/>
          <w:bCs w:val="0"/>
          <w:color w:val="auto"/>
          <w:u w:val="none"/>
        </w:rPr>
        <w:t>www.microsoft.com/worldwide</w:t>
      </w:r>
      <w:r>
        <w:rPr>
          <w:b w:val="0"/>
          <w:bCs w:val="0"/>
        </w:rPr>
        <w:t>. En Estados Unidos y Canadá, llame al (800) MICROSOFT o consulte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DERECHOS DE USO DE LA EDICIÓN DE PRUEBA. </w:t>
      </w:r>
      <w:r>
        <w:rPr>
          <w:b w:val="0"/>
          <w:bCs w:val="0"/>
        </w:rPr>
        <w:t xml:space="preserve">Si el software es una edición de prueba, esta Sección se aplica a su uso de la edición de prueba. </w:t>
      </w:r>
    </w:p>
    <w:p w:rsidR="00B43CFA" w:rsidRPr="00F75C3A" w:rsidRDefault="00C265F3" w:rsidP="001D3A43">
      <w:pPr>
        <w:pStyle w:val="Heading1"/>
        <w:numPr>
          <w:ilvl w:val="0"/>
          <w:numId w:val="12"/>
        </w:numPr>
        <w:rPr>
          <w:b w:val="0"/>
          <w:bCs w:val="0"/>
        </w:rPr>
      </w:pPr>
      <w:r>
        <w:t xml:space="preserve">GENERAL. </w:t>
      </w:r>
      <w:r>
        <w:rPr>
          <w:b w:val="0"/>
          <w:bCs w:val="0"/>
        </w:rPr>
        <w:t xml:space="preserve">Podrá utilizar cualquier número de copias de la edición de prueba en sus dispositivos. Solo podrá utilizar la edición de prueba para fines de evaluación interna y únicamente durante el período de prueba. No puede distribuir ni implementar ninguna aplicación que cree con la edición de prueba en un entorno de producción. Puede ejecutar pruebas de carga de hasta doscientos cincuenta (250) usuarios virtuales durante el período de prueba. </w:t>
      </w:r>
    </w:p>
    <w:p w:rsidR="00AE4C6E" w:rsidRPr="00F75C3A" w:rsidRDefault="00B43CFA" w:rsidP="001D3A43">
      <w:pPr>
        <w:pStyle w:val="ListParagraph"/>
        <w:numPr>
          <w:ilvl w:val="0"/>
          <w:numId w:val="12"/>
        </w:numPr>
        <w:rPr>
          <w:b/>
        </w:rPr>
      </w:pPr>
      <w:r>
        <w:rPr>
          <w:b/>
        </w:rPr>
        <w:t>PERÍODO DE PRUEBA Y CONVERSIÓN.</w:t>
      </w:r>
      <w:r>
        <w:t xml:space="preserve"> La duración del período de prueba es de treinta (30) días después de su instalación, más cualquier período de extensión permitido. Después de la expiración del período de prueba, la edición de prueba dejará de funcionar. Puede extender el período de prueba en noventa (90) días adicionales al iniciar sesión en el software. No podrá acceder a los datos utilizados con la edición de prueba cuando deje de ejecutarse. Puede convertir, en cualquier momento, sus derechos de prueba en los derechos de uso plenos descritos a continuación al adquirir una licencia de uso completo. </w:t>
      </w:r>
    </w:p>
    <w:p w:rsidR="007B61B3" w:rsidRPr="00F75C3A" w:rsidRDefault="007B61B3" w:rsidP="001D3A43">
      <w:pPr>
        <w:pStyle w:val="Heading1"/>
        <w:numPr>
          <w:ilvl w:val="0"/>
          <w:numId w:val="8"/>
        </w:numPr>
        <w:rPr>
          <w:caps/>
        </w:rPr>
      </w:pPr>
      <w:r>
        <w:rPr>
          <w:caps/>
        </w:rPr>
        <w:t xml:space="preserve">Exclusión de garantías. La EDICIÓN DE PRUEBA se licencia “tal cual.” Usted asume el riesgo de utilizarlo. Microsoft no otorga ninguna garantía ni condición expresas. </w:t>
      </w:r>
      <w:r>
        <w:t>En la medida que así lo permita la legislación local, Microsoft excluye las garantías implícitas de comerciabilidad, idoneidad para un fin particular y ausencia de infracción de derechos.</w:t>
      </w:r>
    </w:p>
    <w:p w:rsidR="00126816" w:rsidRPr="00F75C3A" w:rsidRDefault="00126816" w:rsidP="002E2EB2">
      <w:pPr>
        <w:pStyle w:val="Body1"/>
        <w:ind w:left="714"/>
        <w:rPr>
          <w:b/>
          <w:bCs/>
          <w:caps/>
        </w:rPr>
      </w:pPr>
      <w:r>
        <w:rPr>
          <w:b/>
          <w:bCs/>
          <w:caps/>
        </w:rPr>
        <w:t>PARA AUSTRALIA: usted cuenta con garantías legales conforme a la Ley de protección al consumidor de Australia y ningún punto de estos términos pretende modificar dichos derechos.</w:t>
      </w:r>
    </w:p>
    <w:p w:rsidR="007B61B3" w:rsidRPr="00F6165D" w:rsidRDefault="00BB1860" w:rsidP="003D15FA">
      <w:pPr>
        <w:pStyle w:val="Heading1"/>
        <w:numPr>
          <w:ilvl w:val="0"/>
          <w:numId w:val="8"/>
        </w:numPr>
        <w:rPr>
          <w:b w:val="0"/>
          <w:bCs w:val="0"/>
        </w:rPr>
      </w:pPr>
      <w:r>
        <w:t>SOPORTE.</w:t>
      </w:r>
      <w:r>
        <w:rPr>
          <w:b w:val="0"/>
          <w:bCs w:val="0"/>
        </w:rPr>
        <w:t xml:space="preserve"> Debido a que la edición de prueba se presenta "tal cual", no podemos proporcionar servicios de soporte técnico para tal edición.</w:t>
      </w:r>
    </w:p>
    <w:p w:rsidR="007B61B3" w:rsidRPr="003D15FA" w:rsidRDefault="007B61B3" w:rsidP="003D15FA">
      <w:pPr>
        <w:pStyle w:val="Heading1"/>
        <w:numPr>
          <w:ilvl w:val="0"/>
          <w:numId w:val="8"/>
        </w:numPr>
        <w:rPr>
          <w:b w:val="0"/>
          <w:bCs w:val="0"/>
        </w:rPr>
      </w:pPr>
      <w:r>
        <w:rPr>
          <w:caps/>
        </w:rPr>
        <w:t>Limitación de Indemnizaciones. La cantidad máxima que se podrá obtener de Microsoft y de sus proveedores en concepto de indemnización por daños directos será de U.S. $5.00. No podrá obtener indemnización alguna por daños de otra índole, incluidos los daños consecuenciales, por lucro cesante, especiales, indirectos o incidentales.</w:t>
      </w:r>
    </w:p>
    <w:p w:rsidR="007B61B3" w:rsidRPr="00F6165D" w:rsidRDefault="007B61B3" w:rsidP="00F125D4">
      <w:pPr>
        <w:pStyle w:val="Body1"/>
        <w:ind w:left="714"/>
      </w:pPr>
      <w:r>
        <w:t>Esta limitación se aplica a: (a) todo lo relacionado con la versión de prueba,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rsidR="00B2530B" w:rsidRPr="00F6165D" w:rsidRDefault="007B61B3" w:rsidP="00334264">
      <w:pPr>
        <w:ind w:left="720" w:hanging="6"/>
      </w:pPr>
      <w: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TÉRMINOS DE LICENCIA DE USO COMPLETO PARA EL SOFTWARE: </w:t>
      </w:r>
      <w:r>
        <w:rPr>
          <w:b w:val="0"/>
        </w:rPr>
        <w:t xml:space="preserve">Si adquiere una licencia válida y especifica una clave de producto o inicia sesión en el software, se aplicarán los siguientes términos. No podrá compartir la clave </w:t>
      </w:r>
      <w:r>
        <w:rPr>
          <w:b w:val="0"/>
        </w:rPr>
        <w:lastRenderedPageBreak/>
        <w:t xml:space="preserve">de producto o las credenciales de acceso. </w:t>
      </w:r>
    </w:p>
    <w:p w:rsidR="007B61B3" w:rsidRPr="00A16BD5" w:rsidRDefault="007B61B3" w:rsidP="007B61B3">
      <w:pPr>
        <w:pStyle w:val="Heading1"/>
        <w:widowControl w:val="0"/>
        <w:ind w:left="360" w:hanging="360"/>
        <w:rPr>
          <w:rFonts w:eastAsia="SimSun"/>
        </w:rPr>
      </w:pPr>
      <w:r>
        <w:t>RESEÑA.</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Software. </w:t>
      </w:r>
      <w:r>
        <w:rPr>
          <w:b w:val="0"/>
          <w:bCs w:val="0"/>
        </w:rPr>
        <w:t>El software incluye herramientas de desarrollo, aplicaciones y documentación.</w:t>
      </w:r>
    </w:p>
    <w:p w:rsidR="007B61B3" w:rsidRPr="00A16BD5" w:rsidRDefault="007B61B3" w:rsidP="001142D7">
      <w:pPr>
        <w:pStyle w:val="Heading2"/>
        <w:widowControl w:val="0"/>
        <w:ind w:left="720" w:hanging="360"/>
        <w:rPr>
          <w:rFonts w:eastAsia="SimSun"/>
          <w:b w:val="0"/>
        </w:rPr>
      </w:pPr>
      <w:r>
        <w:t xml:space="preserve">Modelo de Licencia. </w:t>
      </w:r>
      <w:r>
        <w:rPr>
          <w:b w:val="0"/>
          <w:bCs w:val="0"/>
        </w:rPr>
        <w:t>La licencia del software se concede a cada usuario.</w:t>
      </w:r>
    </w:p>
    <w:p w:rsidR="007B61B3" w:rsidRPr="00A16BD5" w:rsidRDefault="007B61B3" w:rsidP="007B61B3">
      <w:pPr>
        <w:pStyle w:val="Heading1"/>
        <w:widowControl w:val="0"/>
        <w:ind w:left="360" w:hanging="360"/>
        <w:rPr>
          <w:rFonts w:eastAsia="SimSun"/>
        </w:rPr>
      </w:pPr>
      <w:r>
        <w:t>DERECHOS DE USO.</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Aspectos generales. </w:t>
      </w:r>
      <w:r>
        <w:rPr>
          <w:b w:val="0"/>
          <w:bCs w:val="0"/>
        </w:rPr>
        <w:t>Un solo usuario puede utilizar copias del software en sus dispositivos para desarrollar y probar sus aplicaciones. Esto incluye el uso de copias del software en sus propios servidores internos que permanecen totalmente dedicados a su propio uso. No obstante, no puede separar los componentes del software y ejecutarlos en un entorno de producción o en dispositivos de terceros (salvo que se estipule lo contrario en este contrato) ni para fines distintos al desarrollo y la prueba de sus aplicaciones. Para ejecutar el software en Microsoft Azure, se requiere una licencia independiente.</w:t>
      </w:r>
    </w:p>
    <w:p w:rsidR="00F774A9" w:rsidRPr="00A16BD5" w:rsidRDefault="003F57F8" w:rsidP="001142D7">
      <w:pPr>
        <w:pStyle w:val="Heading2"/>
        <w:widowControl w:val="0"/>
        <w:tabs>
          <w:tab w:val="clear" w:pos="1533"/>
          <w:tab w:val="num" w:pos="720"/>
        </w:tabs>
        <w:ind w:left="720" w:hanging="360"/>
        <w:rPr>
          <w:rFonts w:eastAsia="SimSun"/>
          <w:b w:val="0"/>
          <w:bCs w:val="0"/>
        </w:rPr>
      </w:pPr>
      <w:r>
        <w:t>Cargas de Trabajo.</w:t>
      </w:r>
      <w:r>
        <w:rPr>
          <w:b w:val="0"/>
          <w:bCs w:val="0"/>
        </w:rPr>
        <w:t xml:space="preserve"> Estos términos de licencia se aplican a su uso de las Cargas de Trabajo disponibles a usted dentro del software,</w:t>
      </w:r>
      <w:r>
        <w:t xml:space="preserve"> </w:t>
      </w:r>
      <w:r>
        <w:rPr>
          <w:b w:val="0"/>
        </w:rPr>
        <w:t>excepto en la medida que una Carga de Trabajo, o un componente de una Carga de Trabajo, se suministre con términos diferentes.</w:t>
      </w:r>
    </w:p>
    <w:p w:rsidR="004105CE" w:rsidRPr="00A16BD5" w:rsidRDefault="004105CE" w:rsidP="001142D7">
      <w:pPr>
        <w:pStyle w:val="Heading2"/>
        <w:widowControl w:val="0"/>
        <w:tabs>
          <w:tab w:val="clear" w:pos="1533"/>
          <w:tab w:val="num" w:pos="720"/>
        </w:tabs>
        <w:ind w:left="720" w:hanging="360"/>
        <w:rPr>
          <w:rFonts w:eastAsia="SimSun"/>
          <w:b w:val="0"/>
          <w:bCs w:val="0"/>
        </w:rPr>
      </w:pPr>
      <w:r>
        <w:t>Uso de Demostración.</w:t>
      </w:r>
      <w:r>
        <w:rPr>
          <w:b w:val="0"/>
          <w:bCs w:val="0"/>
        </w:rPr>
        <w:t xml:space="preserve"> El uso permitido anterior incluye la utilización del software para la demostración de las aplicaciones.</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Copia de seguridad. </w:t>
      </w:r>
      <w:r>
        <w:rPr>
          <w:b w:val="0"/>
          <w:bCs w:val="0"/>
        </w:rPr>
        <w:t>Puede realizar una copia de seguridad del software, para poder volver a instalar el mismo.</w:t>
      </w:r>
    </w:p>
    <w:p w:rsidR="007B61B3" w:rsidRPr="00A16BD5" w:rsidRDefault="00165DA5" w:rsidP="007B61B3">
      <w:pPr>
        <w:pStyle w:val="Heading1"/>
        <w:keepNext/>
        <w:tabs>
          <w:tab w:val="num" w:pos="540"/>
        </w:tabs>
        <w:ind w:left="360" w:hanging="360"/>
      </w:pPr>
      <w:r>
        <w:t>TÉRMINOS PARA COMPONENTES ESPECÍFICOS.</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Utilidades. </w:t>
      </w:r>
      <w:r>
        <w:rPr>
          <w:b w:val="0"/>
          <w:bCs w:val="0"/>
        </w:rPr>
        <w:t xml:space="preserve">El software contiene elementos que se identifican en la Lista de Utilidades en </w:t>
      </w:r>
      <w:hyperlink r:id="rId8" w:history="1">
        <w:r>
          <w:rPr>
            <w:rStyle w:val="Hyperlink"/>
            <w:b w:val="0"/>
          </w:rPr>
          <w:t>https://go.microsoft.com/fwlink/?linkid=823097</w:t>
        </w:r>
      </w:hyperlink>
      <w:r>
        <w:rPr>
          <w:b w:val="0"/>
          <w:color w:val="1F4E79"/>
        </w:rPr>
        <w:t xml:space="preserve">. </w:t>
      </w:r>
      <w:r>
        <w:rPr>
          <w:b w:val="0"/>
          <w:bCs w:val="0"/>
        </w:rPr>
        <w:t>Usted puede copiar e instalar dichos elementos, si se incluyen con el software, en sus dispositivos para depurar e implementar las aplicaciones y las bases de datos de su propiedad que haya desarrollado con el software. Tenga en cuenta que las Utilidades están destinadas a un uso temporal, que es posible que Microsoft no pueda aplicar parches o actualizar las Utilidades de forma independiente del resto del software y que algunas Utilidades por su naturaleza pueden permitir que otras personas accedan a los dispositivos donde están instaladas. Por consiguiente, después de depurar o implementar las aplicaciones y las bases de datos, debe eliminar todas las Utilidades que haya instalado. Microsoft no es responsable por el acceso o el uso por parte de terceros en relación con las Utilidades que instale en cualquier dispositivo.</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Herramientas de Compilación.  </w:t>
      </w:r>
      <w:r>
        <w:rPr>
          <w:b w:val="0"/>
        </w:rPr>
        <w:t>Podrá copiar e instalar archivos del software en sus dispositivos de compilación, incluyendo dispositivos físicos y máquinas virtuales o los contenedores de dichas máquinas, ya sea en máquinas locales o remotas de su propiedad, hospedadas en Azure para usted, o dedicadas exclusivamente para el uso por parte de usted (en conjunto, "Dispositivos de Compilación").  Usted y otras personas en su organización pueden utilizar estos archivos en sus Dispositivos de Compilación únicamente para compilar, desarrollar y comprobar aplicaciones o para ejecutar pruebas de calidad o rendimiento de dichas aplicaciones como parte del proceso de compilación.  Para mayor claridad, "aplicaciones" significa las aplicaciones desarrolladas por usted y otras personas en su organización que cuentan con licencia para utilizar el software.</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Componentes de Fuente. </w:t>
      </w:r>
      <w:r>
        <w:rPr>
          <w:b w:val="0"/>
        </w:rPr>
        <w:t>Mientras se ejecuta el software, puede utilizar sus fuentes para mostrar e imprimir el contenido. Solamente puede: (i) incrustar fuentes en el contenido, de acuerdo con lo que permitan las restricciones de incrustación de fuentes; y (ii) puede descargarlas temporalmente en una impresora u otro dispositivo de salida para facilitar la impresión de contenido.</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Licencias para Otros Componentes.</w:t>
      </w:r>
    </w:p>
    <w:p w:rsidR="00C55735" w:rsidRPr="00A16BD5" w:rsidRDefault="00F52467" w:rsidP="00BD68D7">
      <w:pPr>
        <w:pStyle w:val="Heading3"/>
        <w:numPr>
          <w:ilvl w:val="2"/>
          <w:numId w:val="13"/>
        </w:numPr>
      </w:pPr>
      <w:r>
        <w:rPr>
          <w:u w:val="single"/>
        </w:rPr>
        <w:t>Plataformas de Microsoft</w:t>
      </w:r>
      <w:r>
        <w:t>. El software puede incluir componentes de Microsoft Windows, Microsoft Windows Server, Microsoft SQL Server, Microsoft Exchange, Microsoft Office y Microsoft SharePoint. Estos componentes se rigen por contratos independientes y sus propias directivas de soporte técnico de productos, según se describe en</w:t>
      </w:r>
      <w:r>
        <w:rPr>
          <w:color w:val="002060"/>
        </w:rPr>
        <w:t xml:space="preserve"> </w:t>
      </w:r>
      <w:r>
        <w:t>la carpeta "Licencias" de Microsoft que se incluye en el software; excepto en caso que los términos de licencia independientes para esos componentes también se incluyan directamente en la instalación asociada, esos términos de licencia prevalecen.</w:t>
      </w:r>
    </w:p>
    <w:p w:rsidR="00F52467" w:rsidRPr="00A16BD5" w:rsidRDefault="00F52467" w:rsidP="00BD68D7">
      <w:pPr>
        <w:pStyle w:val="Heading3"/>
        <w:numPr>
          <w:ilvl w:val="2"/>
          <w:numId w:val="13"/>
        </w:numPr>
      </w:pPr>
      <w:r>
        <w:rPr>
          <w:u w:val="single"/>
        </w:rPr>
        <w:t>Recursos para desarrolladores</w:t>
      </w:r>
      <w:r>
        <w:t xml:space="preserve">. El software incluye compiladores, idiomas, tiempo de ejecución, ambientes y otros recursos. Estos componentes pueden regirse por contratos independientes y tener sus propias </w:t>
      </w:r>
      <w:r>
        <w:lastRenderedPageBreak/>
        <w:t xml:space="preserve">directivas de soporte técnico de productos. Encontrará una lista de estos otros componentes en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Componentes de terceros</w:t>
      </w:r>
      <w:r>
        <w:t xml:space="preserve">. El software puede incluir componentes de terceros con notificaciones legales independientes o regirse por otros contratos, tal como puede describirse en el archivo ThirdPartyNotices que se incluye en el software.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ADMINISTRADORES DE PAQUETES. </w:t>
      </w:r>
      <w:r>
        <w:rPr>
          <w:b w:val="0"/>
          <w:bCs w:val="0"/>
        </w:rPr>
        <w:t xml:space="preserve">El software incluye </w:t>
      </w:r>
      <w:r>
        <w:rPr>
          <w:b w:val="0"/>
        </w:rPr>
        <w:t>administradores de paquetes, como NuGet, que ofrecen la opción de descargar otros paquetes de software de Microsoft y de terceros para utilizar con la aplicación. Esos paquetes poseen sus propias licencias y se rigen por estas, no por este contrato. Microsoft no distribuye, licencia ni ofrece ninguna garantía para ningún paquete de terceros.</w:t>
      </w:r>
    </w:p>
    <w:p w:rsidR="00431D2B" w:rsidRPr="00A16BD5" w:rsidRDefault="00D96E58" w:rsidP="009A3A66">
      <w:pPr>
        <w:pStyle w:val="Heading1"/>
        <w:widowControl w:val="0"/>
        <w:ind w:left="360" w:hanging="360"/>
        <w:rPr>
          <w:rFonts w:eastAsia="SimSun"/>
          <w:b w:val="0"/>
          <w:bCs w:val="0"/>
        </w:rPr>
      </w:pPr>
      <w:r>
        <w:t xml:space="preserve">CÓDIGO DISTRIBUIBLE. </w:t>
      </w:r>
      <w:r>
        <w:rPr>
          <w:b w:val="0"/>
          <w:bCs w:val="0"/>
        </w:rPr>
        <w:t>El software contiene código que usted está autorizado a distribuir en aplicaciones que desarrolle de acuerdo con la descripción de esta sección. (Para esta sección, el término "distribución" también significa la implementación de sus aplicaciones para que terceros accedan a través de Internet).</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Derecho de Uso y Distribución. </w:t>
      </w:r>
      <w:r>
        <w:rPr>
          <w:b w:val="0"/>
          <w:bCs w:val="0"/>
        </w:rPr>
        <w:t>El código y los archivos de texto que se indican a continuación son</w:t>
      </w:r>
      <w:r>
        <w:t xml:space="preserve"> "Código Distribuible".</w:t>
      </w:r>
    </w:p>
    <w:p w:rsidR="00431D2B" w:rsidRPr="00A16BD5" w:rsidRDefault="00431D2B" w:rsidP="00E2247B">
      <w:pPr>
        <w:pStyle w:val="Bullet4Underlined"/>
        <w:widowControl w:val="0"/>
        <w:ind w:left="1080" w:hanging="360"/>
        <w:rPr>
          <w:rFonts w:eastAsia="SimSun"/>
          <w:u w:val="none"/>
        </w:rPr>
      </w:pPr>
      <w:r>
        <w:t>Archivos REDIST.TXT.</w:t>
      </w:r>
      <w:r>
        <w:rPr>
          <w:u w:val="none"/>
        </w:rPr>
        <w:t xml:space="preserve"> Puede copiar y distribuir el código objeto del código que se identifica en la lista REDIST, en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Código de Ejemplo, Plantillas y Estilos.</w:t>
      </w:r>
      <w:r>
        <w:rPr>
          <w:u w:val="none"/>
        </w:rPr>
        <w:t xml:space="preserve"> Puede copiar, modificar y distribuir la forma de fuente y código objeto del código marcado como "muestra", "plantilla", "estilos simples" y "estilos boceto".</w:t>
      </w:r>
    </w:p>
    <w:p w:rsidR="00431D2B" w:rsidRPr="00A16BD5" w:rsidRDefault="00431D2B" w:rsidP="001142D7">
      <w:pPr>
        <w:pStyle w:val="Bullet4Underlined"/>
        <w:widowControl w:val="0"/>
        <w:ind w:left="1080" w:hanging="360"/>
        <w:rPr>
          <w:rFonts w:eastAsia="SimSun"/>
          <w:u w:val="none"/>
        </w:rPr>
      </w:pPr>
      <w:r>
        <w:t>Biblioteca de Imagen.</w:t>
      </w:r>
      <w:r>
        <w:rPr>
          <w:u w:val="none"/>
        </w:rPr>
        <w:t xml:space="preserve"> Puede copiar y distribuir imágenes, elementos gráficos y animaciones en la Biblioteca de Imágenes tal como se describe en la documentación del software. </w:t>
      </w:r>
    </w:p>
    <w:p w:rsidR="00431D2B" w:rsidRPr="00A16BD5" w:rsidRDefault="00431D2B" w:rsidP="001142D7">
      <w:pPr>
        <w:pStyle w:val="Bullet4Underlined"/>
        <w:widowControl w:val="0"/>
        <w:ind w:left="1080" w:hanging="360"/>
        <w:rPr>
          <w:rFonts w:eastAsia="SimSun"/>
          <w:u w:val="none"/>
        </w:rPr>
      </w:pPr>
      <w:r>
        <w:t>Distribución por Terceros.</w:t>
      </w:r>
      <w:r>
        <w:rPr>
          <w:u w:val="none"/>
        </w:rPr>
        <w:t xml:space="preserve"> Puede permitir a los distribuidores de sus aplicaciones copiar y distribuir el Código Distribuible como parte de dichas aplicaciones.</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Requisitos de Distribución. </w:t>
      </w:r>
      <w:r>
        <w:rPr>
          <w:b w:val="0"/>
          <w:bCs w:val="0"/>
        </w:rPr>
        <w:t>Para cualquier Código Distribuible, deberá:</w:t>
      </w:r>
    </w:p>
    <w:p w:rsidR="00431D2B" w:rsidRPr="00A16BD5" w:rsidRDefault="00431D2B" w:rsidP="001142D7">
      <w:pPr>
        <w:pStyle w:val="Bullet4"/>
        <w:widowControl w:val="0"/>
        <w:ind w:left="1080" w:hanging="360"/>
        <w:rPr>
          <w:rFonts w:eastAsia="SimSun"/>
        </w:rPr>
      </w:pPr>
      <w:r>
        <w:t>agregar una funcionalidad primaria significativa en sus aplicaciones;</w:t>
      </w:r>
    </w:p>
    <w:p w:rsidR="00431D2B" w:rsidRPr="00A16BD5" w:rsidRDefault="00431D2B" w:rsidP="001142D7">
      <w:pPr>
        <w:pStyle w:val="Bullet4"/>
        <w:widowControl w:val="0"/>
        <w:ind w:left="1080" w:hanging="360"/>
        <w:rPr>
          <w:rFonts w:eastAsia="SimSun"/>
        </w:rPr>
      </w:pPr>
      <w:r>
        <w:t>exigir a los distribuidores y usuarios finales externos que acepten términos que protejan el Código Distribuible en la misma medida que este contrato; e</w:t>
      </w:r>
    </w:p>
    <w:p w:rsidR="00431D2B" w:rsidRPr="00F75C3A" w:rsidRDefault="00431D2B" w:rsidP="001142D7">
      <w:pPr>
        <w:pStyle w:val="Bullet4"/>
        <w:widowControl w:val="0"/>
        <w:ind w:left="1080" w:hanging="360"/>
        <w:rPr>
          <w:rFonts w:eastAsia="SimSun"/>
        </w:rPr>
      </w:pPr>
      <w:r>
        <w:t>indemnizar, defender y eximir de responsabilidad a Microsoft frente a cualquier reclamación, incluidos los honorarios de abogados, relacionada con la distribución o el uso de las aplicaciones, salvo en la medida en que las reclamaciones se basen exclusivamente en el Código Distribuible.</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Restricciones de Distribución. </w:t>
      </w:r>
      <w:r>
        <w:rPr>
          <w:b w:val="0"/>
          <w:bCs w:val="0"/>
        </w:rPr>
        <w:t>No puede:</w:t>
      </w:r>
    </w:p>
    <w:p w:rsidR="00431D2B" w:rsidRPr="00F6165D" w:rsidRDefault="00431D2B" w:rsidP="001142D7">
      <w:pPr>
        <w:pStyle w:val="Bullet4"/>
        <w:widowControl w:val="0"/>
        <w:ind w:left="1080" w:hanging="360"/>
        <w:rPr>
          <w:rFonts w:eastAsia="SimSun"/>
        </w:rPr>
      </w:pPr>
      <w:r>
        <w:t>utilizar las marcas de Microsoft en los nombres de sus aplicaciones de ninguna manera que surgiera que sus aplicaciones provienen de Microsoft o que esta las aprueba; ni</w:t>
      </w:r>
    </w:p>
    <w:p w:rsidR="00C544CC" w:rsidRPr="00F6165D" w:rsidRDefault="00C544CC" w:rsidP="001142D7">
      <w:pPr>
        <w:pStyle w:val="Bullet4"/>
        <w:widowControl w:val="0"/>
        <w:ind w:left="1080" w:hanging="360"/>
        <w:rPr>
          <w:rFonts w:eastAsia="SimSun"/>
        </w:rPr>
      </w:pPr>
      <w:r>
        <w:t>modificar o distribuir el código fuente del Código Distribuible para que cualquier parte del mismo esté sujeta a una licencia excluida. Una "Licencia Excluida" es una licencia que requiere, como condición de uso, modificación o distribución de código, que (i) se divulgue o se distribuya en forma de código fuente, o que (ii) los otros tengan derecho a modificarlo.</w:t>
      </w:r>
    </w:p>
    <w:p w:rsidR="00DE3D59" w:rsidRPr="00DE3D59" w:rsidRDefault="004A52BA" w:rsidP="00C65D16">
      <w:pPr>
        <w:pStyle w:val="Heading1"/>
        <w:widowControl w:val="0"/>
        <w:rPr>
          <w:rFonts w:eastAsia="SimSun"/>
          <w:b w:val="0"/>
        </w:rPr>
      </w:pPr>
      <w:r>
        <w:t xml:space="preserve">DATOS. </w:t>
      </w:r>
    </w:p>
    <w:p w:rsidR="00317D11" w:rsidRDefault="000414E4" w:rsidP="003D15FA">
      <w:pPr>
        <w:pStyle w:val="Heading2"/>
        <w:widowControl w:val="0"/>
        <w:tabs>
          <w:tab w:val="clear" w:pos="1533"/>
          <w:tab w:val="num" w:pos="720"/>
          <w:tab w:val="num" w:pos="1080"/>
        </w:tabs>
        <w:ind w:left="720" w:hanging="360"/>
        <w:rPr>
          <w:rFonts w:eastAsia="SimSun"/>
          <w:b w:val="0"/>
        </w:rPr>
      </w:pPr>
      <w:r>
        <w:t>Recopilación de Datos.</w:t>
      </w:r>
      <w:r>
        <w:rPr>
          <w:b w:val="0"/>
        </w:rPr>
        <w:t xml:space="preserve"> El software puede recopilar información sobre usted y sobre su uso del software, y enviarla a Microsoft. Microsoft puede utilizar esta información para prestar servicios y mejorar nuestros productos y servicios. Usted puede renunciar a muchos escenarios, pero no a todos, según se describe en la documentación del producto. El software también incluye a</w:t>
      </w:r>
      <w:r>
        <w:rPr>
          <w:b w:val="0"/>
          <w:color w:val="000000"/>
        </w:rPr>
        <w:t>lgunas características con las que usted y Microsoft podrán recopilar datos de los usuarios de sus aplicaciones</w:t>
      </w:r>
      <w:r>
        <w:rPr>
          <w:b w:val="0"/>
        </w:rPr>
        <w:t xml:space="preserve">. Si utiliza estas características debe cumplir con la legislación aplicable, que incluye la entrega de notificaciones pertinentes a los usuarios de sus aplicaciones, junto con la declaración de privacidad de Microsoft. Nuestra declaración de privacidad se encuentra en </w:t>
      </w:r>
      <w:hyperlink r:id="rId11" w:history="1">
        <w:r>
          <w:rPr>
            <w:rStyle w:val="Hyperlink"/>
            <w:b w:val="0"/>
          </w:rPr>
          <w:t>https://go.microsoft.com/fwlink/?LinkID=824704</w:t>
        </w:r>
      </w:hyperlink>
      <w:r>
        <w:rPr>
          <w:rStyle w:val="Hyperlink"/>
          <w:b w:val="0"/>
        </w:rPr>
        <w:t xml:space="preserve">. </w:t>
      </w:r>
      <w:r>
        <w:rPr>
          <w:b w:val="0"/>
        </w:rPr>
        <w:t>Para obtener más información acerca de la recopilación y el uso de datos, consulte la documentación de ayuda y nuestra declaración de privacidad. El uso que hace del software funciona como su consentimiento para estas prácticas.</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Procesamiento de los Datos Personales. </w:t>
      </w:r>
      <w:r>
        <w:rPr>
          <w:b w:val="0"/>
        </w:rPr>
        <w:t xml:space="preserve">En la medida en que Microsoft sea procesador o subprocesador de datos personales en relación con el software, Microsoft se adhiere a los compromisos de los Términos del </w:t>
      </w:r>
      <w:r>
        <w:rPr>
          <w:b w:val="0"/>
        </w:rPr>
        <w:lastRenderedPageBreak/>
        <w:t xml:space="preserve">Reglamento General de Protección de Datos de la Unión Europea de los Términos de los Servicios en Línea para todos los clientes a partir del 25 de mayo de 2018 en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COBERTURA DE LA LICENCIA. </w:t>
      </w:r>
      <w:r>
        <w:rPr>
          <w:b w:val="0"/>
          <w:bCs w:val="0"/>
        </w:rPr>
        <w:t>El software se licencia, no se vende. Este contrato solo le otorga algunos derechos de uso del software. Microsoft se reserva todos los demás derechos. A menos que la legislación aplicable le otorgue más derechos a pesar de esta limitación, sólo podrá utilizar el software tal como se permite expresamente en este contrato. Al hacerlo, deberá ajustarse a las limitaciones técnicas del software que sólo permiten utilizarlo de determinadas formas. No podrá:</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eludir las limitaciones técnicas del software;</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utilizar técnicas de ingeniería inversa, descompilar o desensamblar el software, así como tampoco derivar el código fuente del software, excepto y en la medida que lo exijan los términos de licencia de terceros que rigen el uso de ciertos componentes de código abierto que se podrían incluir con el software;</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eliminar, minimizar, bloquear o modificar ninguna notificación de Microsoft o sus proveedores en el software;</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utilizar el software de ninguna manera que esté en contra de la legislación;</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compartir, publicar, alquilar o dar el software en préstamo, ni entregarlo como oferta independiente para que otros lo utilicen.</w:t>
      </w:r>
    </w:p>
    <w:p w:rsidR="00431D2B" w:rsidRPr="00E24474" w:rsidRDefault="00431D2B" w:rsidP="00E24474">
      <w:pPr>
        <w:pStyle w:val="Heading1"/>
        <w:widowControl w:val="0"/>
        <w:numPr>
          <w:ilvl w:val="0"/>
          <w:numId w:val="36"/>
        </w:numPr>
        <w:rPr>
          <w:rFonts w:eastAsia="SimSun"/>
          <w:b w:val="0"/>
        </w:rPr>
      </w:pPr>
      <w:r>
        <w:t xml:space="preserve">DOCUMENTACIÓN. </w:t>
      </w:r>
      <w:r>
        <w:rPr>
          <w:b w:val="0"/>
          <w:bCs w:val="0"/>
        </w:rPr>
        <w:t>Toda persona que tenga acceso válido a su equipo o a la red interna podrá copiar y utilizar la documentación a efectos de consulta interna.</w:t>
      </w:r>
    </w:p>
    <w:p w:rsidR="00431D2B" w:rsidRPr="00F6165D" w:rsidRDefault="00431D2B" w:rsidP="00431D2B">
      <w:pPr>
        <w:pStyle w:val="Heading1"/>
        <w:widowControl w:val="0"/>
        <w:rPr>
          <w:rFonts w:eastAsia="SimSun"/>
          <w:b w:val="0"/>
        </w:rPr>
      </w:pPr>
      <w:r>
        <w:t xml:space="preserve">SOFTWARE NO PARA REVENTA (NOT FOR RESALE). </w:t>
      </w:r>
      <w:r>
        <w:rPr>
          <w:b w:val="0"/>
          <w:bCs w:val="0"/>
        </w:rPr>
        <w:t>No puede vender el software identificado como "NPR" o "No para Reventa".</w:t>
      </w:r>
    </w:p>
    <w:p w:rsidR="00431D2B" w:rsidRPr="00F6165D" w:rsidRDefault="00C65D16" w:rsidP="00AE63A4">
      <w:pPr>
        <w:pStyle w:val="Heading1"/>
        <w:widowControl w:val="0"/>
        <w:rPr>
          <w:rFonts w:eastAsia="SimSun"/>
          <w:b w:val="0"/>
        </w:rPr>
      </w:pPr>
      <w:r>
        <w:t xml:space="preserve">DERECHOS PARA UTILIZAR OTRAS VERSIONES Y EDICIONES ANTERIORES. </w:t>
      </w:r>
      <w:r>
        <w:rPr>
          <w:b w:val="0"/>
        </w:rPr>
        <w:t>Puede utilizar el software y cualquier versión anterior en cualquier dispositivo. En lugar de la versión con licencia, podrá crear, almacenar, instalar, ejecutar o acceder a una copia o instancia de una versión anterior o una versión de idioma distinto permitida</w:t>
      </w:r>
      <w:r>
        <w:rPr>
          <w:b w:val="0"/>
          <w:bCs w:val="0"/>
        </w:rPr>
        <w:t>.</w:t>
      </w:r>
    </w:p>
    <w:p w:rsidR="00431D2B" w:rsidRPr="00A16BD5" w:rsidRDefault="00431D2B" w:rsidP="00431D2B">
      <w:pPr>
        <w:pStyle w:val="Heading1"/>
        <w:widowControl w:val="0"/>
        <w:rPr>
          <w:rFonts w:eastAsia="SimSun"/>
          <w:b w:val="0"/>
        </w:rPr>
      </w:pPr>
      <w:r>
        <w:t xml:space="preserve">PRUEBA DE LICENCIA (PROOF OF LICENSE). </w:t>
      </w:r>
      <w:r>
        <w:rPr>
          <w:b w:val="0"/>
          <w:bCs w:val="0"/>
        </w:rPr>
        <w:t xml:space="preserve">Si adquirió el software en un disco u otro soporte físico, su prueba de licencia es la etiqueta del certificado de autenticidad de Microsoft, la clave de producto y el recibo de compra. Si adquirió una copia del software en línea, su prueba de licencia es la clave de producto de Microsoft que recibió con la compra y el recibo correspondiente o la posibilidad de acceder al software a través de su cuenta de Microsoft. Para identificar el software original de Microsoft, consulte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TRANSMISIÓN A TERCEROS.</w:t>
      </w:r>
      <w:r>
        <w:t xml:space="preserve"> Si usted es un licenciatario válido del software, puede transmitir el software y este contrato directamente a otra parte. Antes de realizar la transmisión, la parte debe aceptar que este contrato se aplica a la transmisión y al uso del software. La transmisión debe incluir el software, la clave del producto original de Microsoft y (si corresponde) la etiqueta de Prueba de Licencia. El transmisor debe desinstalar todas las copias del software después de transmitirlo desde el dispositivo. El transmisor no puede conservar ninguna copia de la clave del producto original de Microsoft que se transmitirá y solo puede conservar copias del software si está licenciado para hacerlo. </w:t>
      </w:r>
      <w:r>
        <w:rPr>
          <w:b/>
          <w:bCs/>
        </w:rPr>
        <w:t>Si ha adquirido una licencia no perpetua o si el software está marcado como No para Reventa (Not for Resale), usted no puede transmitir el software ni el contrato de licencia de software a terceros.</w:t>
      </w:r>
    </w:p>
    <w:p w:rsidR="00431D2B" w:rsidRPr="00A16BD5" w:rsidRDefault="00431D2B" w:rsidP="00431D2B">
      <w:pPr>
        <w:pStyle w:val="Heading1"/>
        <w:widowControl w:val="0"/>
        <w:rPr>
          <w:rFonts w:eastAsia="SimSun"/>
          <w:b w:val="0"/>
        </w:rPr>
      </w:pPr>
      <w:r>
        <w:t xml:space="preserve">RESTRICCIONES EN MATERIA DE EXPORTACIÓN. </w:t>
      </w:r>
      <w:r>
        <w:rPr>
          <w:b w:val="0"/>
          <w:bCs w:val="0"/>
        </w:rPr>
        <w:t xml:space="preserve">También debe cumplir con todas las leyes y reglamentos locales e internacionales de exportación que se apliquen al software, incluidas restricciones de destino, usuarios finales y uso final. Para obtener más información sobre las restricciones en materia de exportación, visite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SOPORTE. </w:t>
      </w:r>
      <w:r>
        <w:rPr>
          <w:b w:val="0"/>
          <w:bCs w:val="0"/>
        </w:rPr>
        <w:t xml:space="preserve">Microsoft proporciona el soporte técnico para el software que se describe en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CONTRATO COMPLETO. </w:t>
      </w:r>
      <w:r>
        <w:rPr>
          <w:b w:val="0"/>
          <w:bCs w:val="0"/>
        </w:rPr>
        <w:t>Este contrato (incluida la garantía que aparece más abajo) y los términos aplicables a complementos, actualizaciones, servicios basados en Internet y servicios de soporte técnico que utilice constituyen el contrato completo para el software y los servicios de soporte técnico.</w:t>
      </w:r>
    </w:p>
    <w:p w:rsidR="00431D2B" w:rsidRPr="00A16BD5" w:rsidRDefault="00431D2B" w:rsidP="00DE3D59">
      <w:pPr>
        <w:pStyle w:val="Heading1"/>
        <w:widowControl w:val="0"/>
        <w:rPr>
          <w:rFonts w:eastAsia="SimSun"/>
        </w:rPr>
      </w:pPr>
      <w:r>
        <w:t xml:space="preserve">LEGISLACIÓN APLICABLE. </w:t>
      </w:r>
      <w:r>
        <w:rPr>
          <w:b w:val="0"/>
          <w:bCs w:val="0"/>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adquiere el software en otro país, se aplicará la legislación de dicho país.</w:t>
      </w:r>
    </w:p>
    <w:p w:rsidR="0050688B" w:rsidRPr="00AA6BF9" w:rsidRDefault="0050688B" w:rsidP="00DE3D59">
      <w:pPr>
        <w:pStyle w:val="Heading1"/>
        <w:widowControl w:val="0"/>
        <w:rPr>
          <w:b w:val="0"/>
        </w:rPr>
      </w:pPr>
      <w:r>
        <w:lastRenderedPageBreak/>
        <w:t xml:space="preserve">DERECHOS DE CONSUMIDOR; VARIANTES REGIONALES. </w:t>
      </w:r>
      <w:r>
        <w:rPr>
          <w:b w:val="0"/>
        </w:rPr>
        <w:t>En este contrato se describen determinados derechos legales. Puede que usted tenga otros derechos, incluidos derechos del consumidor, según la legislación de su estado o país. Por separado e independientemente de su relación con Microsoft, puede tener derechos con respecto a la parte de la que adquirió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50688B" w:rsidRPr="00A16BD5" w:rsidRDefault="0050688B" w:rsidP="0050688B">
      <w:pPr>
        <w:pStyle w:val="Heading2"/>
        <w:numPr>
          <w:ilvl w:val="0"/>
          <w:numId w:val="24"/>
        </w:numPr>
        <w:tabs>
          <w:tab w:val="left" w:pos="720"/>
        </w:tabs>
        <w:rPr>
          <w:b w:val="0"/>
        </w:rPr>
      </w:pPr>
      <w:r>
        <w:t xml:space="preserve">Australia. </w:t>
      </w:r>
      <w:r>
        <w:rPr>
          <w:b w:val="0"/>
        </w:rPr>
        <w:t>Las referencias a la “Garantía limitada” son referencias a la garantía expresa que proporciona Microsoft, el fabricante o el instalador. Esta garantía es adicional a otros derechos y recursos que pueda tener según la legislación, incluidos sus derechos y recursos en virtud de las garantías legales de la Ley de Protección al Consumidor de Australia.</w:t>
      </w:r>
    </w:p>
    <w:p w:rsidR="0050688B" w:rsidRPr="00A16BD5" w:rsidRDefault="0050688B" w:rsidP="0050688B">
      <w:pPr>
        <w:pStyle w:val="Heading2"/>
        <w:numPr>
          <w:ilvl w:val="0"/>
          <w:numId w:val="0"/>
        </w:numPr>
        <w:tabs>
          <w:tab w:val="left" w:pos="720"/>
        </w:tabs>
        <w:ind w:left="717"/>
        <w:rPr>
          <w:b w:val="0"/>
        </w:rPr>
      </w:pPr>
      <w:r>
        <w:rPr>
          <w:b w:val="0"/>
        </w:rPr>
        <w:t>En esta sección, "bienes" hace referencia al software para el que Microsoft o el fabricante, o el instalador proporcionan la garantía expresa. Nuestros bienes incluyen garantías que no se pueden excluir conforme a la Ley del Consumidor de Australia. Usted tiene derecho a un reemplazo o un reembolso en caso de un error importante y a una indemnización por cualquier otra pérdida o daño razonablemente previsible. También tiene derecho a que los bienes se reparen o reemplacen si no tienen una calidad aceptable, aunque el error no se considere un error importante.</w:t>
      </w:r>
    </w:p>
    <w:p w:rsidR="0050688B" w:rsidRPr="00A16BD5" w:rsidRDefault="0050688B" w:rsidP="0050688B">
      <w:pPr>
        <w:pStyle w:val="Heading2"/>
        <w:numPr>
          <w:ilvl w:val="0"/>
          <w:numId w:val="24"/>
        </w:numPr>
        <w:tabs>
          <w:tab w:val="left" w:pos="720"/>
        </w:tabs>
        <w:rPr>
          <w:b w:val="0"/>
        </w:rPr>
      </w:pPr>
      <w:r>
        <w:t xml:space="preserve">Canadá. </w:t>
      </w:r>
      <w:r>
        <w:rPr>
          <w:b w:val="0"/>
        </w:rPr>
        <w:t>Si adquirió este software en Canadá, puede dejar de recibir actualizaciones automáticas al desactivar esta característica, desconectar su dispositivo de Internet (sin embargo, cuando se vuelva a conectar a Internet, el software continuará buscando y descargando actualizaciones) o desinstalar el software. La documentación del producto, de haberla, también puede especificar cómo desactivar las actualizaciones para su dispositivo o software específico.</w:t>
      </w:r>
    </w:p>
    <w:p w:rsidR="0050688B" w:rsidRPr="00A16BD5" w:rsidRDefault="0050688B" w:rsidP="0050688B">
      <w:pPr>
        <w:pStyle w:val="Heading2"/>
        <w:numPr>
          <w:ilvl w:val="0"/>
          <w:numId w:val="24"/>
        </w:numPr>
        <w:tabs>
          <w:tab w:val="left" w:pos="720"/>
        </w:tabs>
        <w:rPr>
          <w:b w:val="0"/>
        </w:rPr>
      </w:pPr>
      <w:r>
        <w:t>Alemania y Austria</w:t>
      </w:r>
      <w:r>
        <w:rPr>
          <w:b w:val="0"/>
        </w:rPr>
        <w:t>.</w:t>
      </w:r>
    </w:p>
    <w:p w:rsidR="0050688B" w:rsidRPr="00A16BD5" w:rsidRDefault="0050688B" w:rsidP="0050688B">
      <w:pPr>
        <w:ind w:left="717"/>
      </w:pPr>
      <w:r>
        <w:rPr>
          <w:b/>
        </w:rPr>
        <w:t>(i)</w:t>
      </w:r>
      <w:r>
        <w:tab/>
      </w:r>
      <w:r>
        <w:rPr>
          <w:b/>
        </w:rPr>
        <w:t>Garantía</w:t>
      </w:r>
      <w:r>
        <w:t>. El software que disponga de la debida licencia funcionará esencialmente como se describe en la documentación de Microsoft que lo acompaña. Sin embargo, Microsoft no otorga garantía contractual en relación con el software.</w:t>
      </w:r>
    </w:p>
    <w:p w:rsidR="0050688B" w:rsidRPr="00A16BD5" w:rsidRDefault="0050688B" w:rsidP="0050688B">
      <w:pPr>
        <w:ind w:left="717"/>
      </w:pPr>
      <w:r>
        <w:rPr>
          <w:b/>
        </w:rPr>
        <w:t>(ii)</w:t>
      </w:r>
      <w:r>
        <w:tab/>
      </w:r>
      <w:r>
        <w:rPr>
          <w:b/>
        </w:rPr>
        <w:t>Limitación de responsabilidad</w:t>
      </w:r>
      <w:r>
        <w:t>. En caso de comportamiento intencional, negligencia grave, reclamaciones basadas en la Ley de Responsabilidad por Productos, así como en caso de muerte, daños corporales o lesiones físicas, Microsoft es responsable conforme a la legislación.</w:t>
      </w:r>
    </w:p>
    <w:p w:rsidR="00431D2B" w:rsidRPr="00A16BD5" w:rsidRDefault="0050688B" w:rsidP="008A2696">
      <w:pPr>
        <w:pStyle w:val="Heading1"/>
        <w:numPr>
          <w:ilvl w:val="0"/>
          <w:numId w:val="0"/>
        </w:numPr>
        <w:tabs>
          <w:tab w:val="left" w:pos="720"/>
        </w:tabs>
        <w:ind w:left="717"/>
        <w:rPr>
          <w:rFonts w:eastAsia="SimSun"/>
          <w:b w:val="0"/>
        </w:rPr>
      </w:pPr>
      <w:r>
        <w:rPr>
          <w:b w:val="0"/>
        </w:rPr>
        <w:t>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"obligaciones cardinales"). En otros casos de negligencia leve, Microsoft no será responsable de dicha negligencia.</w:t>
      </w:r>
    </w:p>
    <w:p w:rsidR="00431D2B" w:rsidRPr="00A16BD5" w:rsidRDefault="00431D2B" w:rsidP="00DE3D59">
      <w:pPr>
        <w:pStyle w:val="Heading1"/>
        <w:widowControl w:val="0"/>
        <w:tabs>
          <w:tab w:val="clear" w:pos="450"/>
        </w:tabs>
        <w:rPr>
          <w:rFonts w:eastAsia="SimSun"/>
        </w:rPr>
      </w:pPr>
      <w:r>
        <w:t>LIMITACIÓN Y EXCLUSIÓN DE INDEMNIZACIONES. PUEDE RECUPERAR DE MICROSOFT Y SUS PROVEEDORES SOLO LOS DAÑOS DIRECTOS HASTA EL IMPORTE QUE PAGÓ POR EL SOFTWARE. NO PODRÁ OBTENER INDEMNIZACIÓN ALGUNA POR DAÑOS DE OTRA ÍNDOLE, INCLUIDOS LOS DAÑOS CONSECUENCIALES, POR LUCRO CESANTE, ESPECIALES, INDIRECTOS O INCIDENTALES.</w:t>
      </w:r>
    </w:p>
    <w:p w:rsidR="00CA6BE6" w:rsidRPr="00F75C3A" w:rsidRDefault="00CA6BE6" w:rsidP="00DE3D59">
      <w:pPr>
        <w:pStyle w:val="Heading1Unbold"/>
        <w:numPr>
          <w:ilvl w:val="0"/>
          <w:numId w:val="0"/>
        </w:numPr>
        <w:spacing w:before="120" w:after="120"/>
        <w:ind w:left="450" w:hanging="3"/>
        <w:rPr>
          <w:bCs/>
        </w:rPr>
      </w:pPr>
      <w: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CA6BE6" w:rsidRPr="00F6165D" w:rsidRDefault="00CA6BE6" w:rsidP="00DE3D59">
      <w:pPr>
        <w:pStyle w:val="Heading1Unbold"/>
        <w:numPr>
          <w:ilvl w:val="0"/>
          <w:numId w:val="0"/>
        </w:numPr>
        <w:spacing w:before="120" w:after="120"/>
        <w:ind w:left="450"/>
        <w:rPr>
          <w:rFonts w:eastAsia="SimSun"/>
        </w:rPr>
      </w:pPr>
      <w:r>
        <w:t>Asimismo, también se aplicará incluso si 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GARANTÍA LIMITADA</w:t>
      </w:r>
    </w:p>
    <w:p w:rsidR="00431D2B" w:rsidRPr="00A16BD5" w:rsidRDefault="00431D2B" w:rsidP="00431D2B">
      <w:pPr>
        <w:pStyle w:val="Heading1Warranty"/>
        <w:widowControl w:val="0"/>
        <w:rPr>
          <w:rFonts w:eastAsia="SimSun"/>
        </w:rPr>
      </w:pPr>
      <w:r>
        <w:rPr>
          <w:b/>
          <w:bCs/>
        </w:rPr>
        <w:t>GARANTÍA LIMITADA.</w:t>
      </w:r>
      <w:r>
        <w:t xml:space="preserve"> Si sigue las instrucciones, el software se ejecutará sustancialmente como se indica en el material de Microsoft que haya recibido con el software o en el mismo.</w:t>
      </w:r>
    </w:p>
    <w:p w:rsidR="004157F7" w:rsidRPr="00A16BD5" w:rsidRDefault="004157F7" w:rsidP="00311700">
      <w:pPr>
        <w:ind w:left="360"/>
      </w:pPr>
      <w:r>
        <w:t>Las referencias a "garantía limitada" son referencias a la garantía expresa que proporciona Microsoft. Esta garantía se otorga además de otros derechos y recursos que pueda tener por ley, incluidos los derechos y recursos de acuerdo con las garantías legales en virtud de la ley de protección al consumidor.</w:t>
      </w:r>
    </w:p>
    <w:p w:rsidR="00431D2B" w:rsidRPr="00A16BD5" w:rsidRDefault="00431D2B" w:rsidP="00431D2B">
      <w:pPr>
        <w:pStyle w:val="Heading1Warranty"/>
        <w:widowControl w:val="0"/>
        <w:rPr>
          <w:rFonts w:eastAsia="SimSun"/>
          <w:bCs/>
        </w:rPr>
      </w:pPr>
      <w:r>
        <w:rPr>
          <w:b/>
          <w:bCs/>
        </w:rPr>
        <w:t>VIGENCIA DE LA GARANTÍA; BENEFICIARIO DE LA GARANTÍA; ALCANCE DE LAS GARANTÍAS IMPLÍCITAS. LA GARANTÍA LIMITADA CUBRE EL SOFTWARE HASTA UN (1) AÑO DESPUÉS DE SU ADQUISICIÓN POR PARTE DEL PRIMER USUARIO. SI DURANTE ESE AÑO RECIBE COMPLEMENTOS, ACTUALIZACIONES O SUSTITUCIONES DEL SOFTWARE, ESTARÁN CUBIERTOS POR LO QUE RESTE DE LA GARANTÍA O, COMO MÍNIMO, DURANTE 30 DÍAS.</w:t>
      </w:r>
      <w:r>
        <w:t xml:space="preserve"> Si el primer usuario transmite el software, lo que reste de garantía se aplicará al adquiriente.</w:t>
      </w:r>
    </w:p>
    <w:p w:rsidR="00431D2B" w:rsidRPr="00A16BD5" w:rsidRDefault="00431D2B" w:rsidP="00431D2B">
      <w:pPr>
        <w:pStyle w:val="Body1"/>
        <w:widowControl w:val="0"/>
        <w:rPr>
          <w:rFonts w:eastAsia="SimSun"/>
        </w:rPr>
      </w:pPr>
      <w:r>
        <w:rPr>
          <w:b/>
          <w:bCs/>
        </w:rPr>
        <w:t>EN LA MEDIDA EN QUE LO PERMITA LA LEGISLACIÓN, TODAS LAS GARANTÍAS Y CONDICIONES IMPLÍCITAS TENDRÁN VIGENCIA ÚNICAMENTE DURANTE EL PERIODO DE VIGENCIA DE LA GARANTÍA LIMITADA.</w:t>
      </w:r>
      <w:r>
        <w:t xml:space="preserve"> Sin embargo, algunos estados no permiten limitaciones en cuanto a la vigencia de una garantía implícita, por lo que es posible que estas limitaciones no se apliquen en su caso. Es posible que tampoco se apliquen en su caso debido a que algunos países no permiten limitaciones en cuanto a la vigencia de una garantía o condición implícita.</w:t>
      </w:r>
    </w:p>
    <w:p w:rsidR="00431D2B" w:rsidRPr="00A16BD5" w:rsidRDefault="00431D2B" w:rsidP="00431D2B">
      <w:pPr>
        <w:pStyle w:val="Heading1Warranty"/>
        <w:widowControl w:val="0"/>
        <w:rPr>
          <w:rFonts w:eastAsia="SimSun"/>
        </w:rPr>
      </w:pPr>
      <w:r>
        <w:rPr>
          <w:b/>
          <w:bCs/>
        </w:rPr>
        <w:t>EXCLUSIONES DE LA GARANTÍA.</w:t>
      </w:r>
      <w:r>
        <w:t xml:space="preserve"> Esta garantía no cubre los problemas causados por acciones (u omisiones) por su parte, acciones de terceros o sucesos más allá del control razonable de Microsoft.</w:t>
      </w:r>
    </w:p>
    <w:p w:rsidR="00431D2B" w:rsidRPr="00A16BD5" w:rsidRDefault="00431D2B" w:rsidP="00431D2B">
      <w:pPr>
        <w:pStyle w:val="Heading1Warranty"/>
        <w:widowControl w:val="0"/>
        <w:rPr>
          <w:rFonts w:eastAsia="SimSun"/>
          <w:b/>
          <w:bCs/>
        </w:rPr>
      </w:pPr>
      <w:r>
        <w:rPr>
          <w:b/>
          <w:bCs/>
        </w:rPr>
        <w:t>RECURSOS LEGALES ANTE UN INCUMPLIMIENTO DE LA GARANTÍA. MICROSOFT REPARARÁ O REEMPLAZARÁ EL SOFTWARE SIN COSTO. SI MICROSOFT NO PUEDE REPARARLO O SUSTITUIRLO, LE REEMBOLSARÁ EL IMPORTE QUE CONSTA EN SU RECIBO DEL SOFTWARE. TAMBIÉN REPARARÁ O REEMPLAZARÁ LOS COMPLEMENTOS, LAS ACTUALIZACIONES Y LAS SUSTITUCIONES DEL SOFTWARE SIN COSTO ALGUNO. SI MICROSOFT NO PUEDE REPARARLOS O SUSTITUIRLOS, LE REEMBOLSARÁ EL IMPORTE QUE USTED PAGÓ POR ELLOS, SI PROCEDE. PARA OBTENER UN REEMBOLSO DEBE DESINSTALAR EL SOFTWARE Y DEVOLVER A MICROSOFT TODOS LOS SOPORTES FÍSICOS U OTROS MATERIALES ASOCIADOS JUNTO CON SU PRUEBA DE COMPRA. ESTOS SON LOS ÚNICOS RECURSOS DE LOS QUE DISPONDRÁ EN CASO DE INCUMPLIMIENTO DE LA GARANTÍA LIMITADA.</w:t>
      </w:r>
    </w:p>
    <w:p w:rsidR="00431D2B" w:rsidRPr="00A16BD5" w:rsidRDefault="00431D2B" w:rsidP="00431D2B">
      <w:pPr>
        <w:pStyle w:val="Heading1Warranty"/>
        <w:widowControl w:val="0"/>
        <w:rPr>
          <w:rFonts w:eastAsia="SimSun"/>
          <w:b/>
          <w:bCs/>
        </w:rPr>
      </w:pPr>
      <w:r>
        <w:rPr>
          <w:b/>
          <w:bCs/>
        </w:rPr>
        <w:t>DERECHOS DEL CONSUMIDOR NO AFECTADOS. ES POSIBLE QUE LA LEGISLACIÓN LOCAL LE OTORGUE DERECHOS DE CONSUMIDOR ADICIONALES QUE ESTE CONTRATO NO PUEDA MODIFICAR.</w:t>
      </w:r>
    </w:p>
    <w:p w:rsidR="00431D2B" w:rsidRPr="00A16BD5" w:rsidRDefault="00431D2B" w:rsidP="00431D2B">
      <w:pPr>
        <w:pStyle w:val="Heading1Warranty"/>
        <w:widowControl w:val="0"/>
        <w:rPr>
          <w:rFonts w:eastAsia="SimSun"/>
          <w:bCs/>
        </w:rPr>
      </w:pPr>
      <w:r>
        <w:rPr>
          <w:b/>
          <w:bCs/>
        </w:rPr>
        <w:t xml:space="preserve">PROCEDIMIENTOS DE LA GARANTÍA. </w:t>
      </w:r>
      <w:r>
        <w:t>Para el servicio de garantía, necesita una prueba de compra.</w:t>
      </w:r>
    </w:p>
    <w:p w:rsidR="00431D2B" w:rsidRPr="00A16BD5" w:rsidRDefault="00431D2B" w:rsidP="00431D2B">
      <w:pPr>
        <w:pStyle w:val="Heading2Warranty"/>
        <w:widowControl w:val="0"/>
        <w:rPr>
          <w:rFonts w:eastAsia="SimSun"/>
        </w:rPr>
      </w:pPr>
      <w:r>
        <w:rPr>
          <w:b/>
          <w:bCs/>
        </w:rPr>
        <w:t>Estados Unidos y Canadá.</w:t>
      </w:r>
      <w:r>
        <w:t xml:space="preserve"> Para obtener información sobre el servicio de garantía o el reembolso del software adquirido en los Estados Unidos y Canadá, póngase en contacto con Microsoft en:</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Microsoft Customer Service and Support, One Microsoft Way, Redmond, WA 98052-6399;</w:t>
      </w:r>
    </w:p>
    <w:p w:rsidR="00431D2B" w:rsidRPr="00A16BD5" w:rsidRDefault="00431D2B" w:rsidP="001142D7">
      <w:pPr>
        <w:pStyle w:val="Bullet3"/>
        <w:widowControl w:val="0"/>
        <w:tabs>
          <w:tab w:val="clear" w:pos="1800"/>
          <w:tab w:val="num" w:pos="1170"/>
        </w:tabs>
        <w:ind w:left="1080" w:hanging="360"/>
        <w:rPr>
          <w:rFonts w:eastAsia="SimSun"/>
        </w:rPr>
      </w:pPr>
      <w:r>
        <w:t xml:space="preserve">visite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Europa, Oriente Medio y África. </w:t>
      </w:r>
      <w:r>
        <w:t>Microsoft Ireland Operations Limited otorga esta garantía limitada de servicio para el software adquirido en Europa, Oriente Medio o África. Para presentar una reclamación en relación con esta garantía, póngase en contacto con:</w:t>
      </w:r>
    </w:p>
    <w:p w:rsidR="00431D2B" w:rsidRPr="00A16BD5" w:rsidRDefault="00431D2B" w:rsidP="001142D7">
      <w:pPr>
        <w:pStyle w:val="Bullet3"/>
        <w:widowControl w:val="0"/>
        <w:tabs>
          <w:tab w:val="clear" w:pos="1800"/>
          <w:tab w:val="num" w:pos="1080"/>
        </w:tabs>
        <w:ind w:left="1080" w:hanging="360"/>
        <w:rPr>
          <w:rFonts w:eastAsia="SimSun"/>
        </w:rPr>
      </w:pPr>
      <w:r>
        <w:t>Microsoft Ireland Operations Limited, Customer Care Centre, Atrium Building Block B, Carmanhall Road, Sandyford Industrial Estate, Dublin 18, Irlanda; o</w:t>
      </w:r>
    </w:p>
    <w:p w:rsidR="00431D2B" w:rsidRPr="00A16BD5" w:rsidRDefault="00431D2B" w:rsidP="001142D7">
      <w:pPr>
        <w:pStyle w:val="Bullet3"/>
        <w:widowControl w:val="0"/>
        <w:tabs>
          <w:tab w:val="clear" w:pos="1800"/>
          <w:tab w:val="num" w:pos="1080"/>
        </w:tabs>
        <w:ind w:left="1080" w:hanging="360"/>
        <w:rPr>
          <w:rFonts w:eastAsia="SimSun"/>
        </w:rPr>
      </w:pPr>
      <w:r>
        <w:t>la filial de Microsoft de su país (consulte aka.ms/msoffices).</w:t>
      </w:r>
    </w:p>
    <w:p w:rsidR="0058582B" w:rsidRPr="00A16BD5" w:rsidRDefault="0058582B" w:rsidP="0058582B">
      <w:pPr>
        <w:widowControl w:val="0"/>
        <w:numPr>
          <w:ilvl w:val="1"/>
          <w:numId w:val="5"/>
        </w:numPr>
        <w:outlineLvl w:val="1"/>
        <w:rPr>
          <w:rFonts w:eastAsia="SimSun"/>
        </w:rPr>
      </w:pPr>
      <w:r>
        <w:rPr>
          <w:b/>
          <w:bCs/>
        </w:rPr>
        <w:t xml:space="preserve">Australia. </w:t>
      </w:r>
      <w:r>
        <w:t>Para obtener información sobre los Servicios de Garantía y reclamar gastos relacionados con la garantía (si corresponde) del software adquirido en Australia, póngase en contacto con Microsoft en:</w:t>
      </w:r>
    </w:p>
    <w:p w:rsidR="0058582B" w:rsidRPr="00A16BD5" w:rsidRDefault="0058582B" w:rsidP="0058582B">
      <w:pPr>
        <w:widowControl w:val="0"/>
        <w:numPr>
          <w:ilvl w:val="0"/>
          <w:numId w:val="2"/>
        </w:numPr>
        <w:tabs>
          <w:tab w:val="clear" w:pos="1800"/>
          <w:tab w:val="num" w:pos="1080"/>
        </w:tabs>
        <w:ind w:left="1077"/>
        <w:rPr>
          <w:rFonts w:eastAsia="SimSun"/>
        </w:rPr>
      </w:pPr>
      <w:r>
        <w:t>13 20 58; o</w:t>
      </w:r>
    </w:p>
    <w:p w:rsidR="0058582B" w:rsidRPr="00A16BD5" w:rsidRDefault="0058582B" w:rsidP="001142D7">
      <w:pPr>
        <w:pStyle w:val="Bullet3"/>
        <w:widowControl w:val="0"/>
        <w:tabs>
          <w:tab w:val="clear" w:pos="1800"/>
          <w:tab w:val="num" w:pos="1080"/>
        </w:tabs>
        <w:ind w:left="1080" w:hanging="360"/>
        <w:rPr>
          <w:rFonts w:eastAsia="SimSun"/>
        </w:rPr>
      </w:pPr>
      <w:r>
        <w:t>Microsoft Pty Ltd, 1 Epping Road, North Ryde NSW 2113, Australia.</w:t>
      </w:r>
    </w:p>
    <w:p w:rsidR="00431D2B" w:rsidRPr="00A16BD5" w:rsidRDefault="00431D2B" w:rsidP="00431D2B">
      <w:pPr>
        <w:pStyle w:val="Heading2Warranty"/>
        <w:widowControl w:val="0"/>
        <w:rPr>
          <w:rFonts w:eastAsia="SimSun"/>
          <w:bCs/>
        </w:rPr>
      </w:pPr>
      <w:r>
        <w:rPr>
          <w:b/>
          <w:bCs/>
        </w:rPr>
        <w:t xml:space="preserve">Fuera de Estados Unidos, Canadá, Europa, Oriente Medio, África y Australia. </w:t>
      </w:r>
      <w:r>
        <w:t xml:space="preserve">Si adquirió el software </w:t>
      </w:r>
      <w:r>
        <w:lastRenderedPageBreak/>
        <w:t>fuera de Estados Unidos, Canadá, Europa, Oriente Medio, África y Australia, póngase en contacto con la filial de Microsoft en su país (consulte aka.ms/msoffices).</w:t>
      </w:r>
    </w:p>
    <w:p w:rsidR="00431D2B" w:rsidRPr="00A16BD5" w:rsidRDefault="00431D2B" w:rsidP="00431D2B">
      <w:pPr>
        <w:pStyle w:val="Heading1Warranty"/>
        <w:widowControl w:val="0"/>
        <w:rPr>
          <w:rFonts w:eastAsia="SimSun"/>
        </w:rPr>
      </w:pPr>
      <w:r>
        <w:rPr>
          <w:b/>
          <w:bCs/>
        </w:rPr>
        <w:t>EXCLUSIÓN DE OTRAS GARANTÍAS. LA GARANTÍA LIMITADA CONSTITUYE LA ÚNICA GARANTÍA DIRECTA QUE OFRECE MICROSOFT. MICROSOFT NO OTORGA NINGUNA GARANTÍA NI CONDICIÓN EXPRESA. EN LA MEDIDA EN QUE LO PERMITA LA LEGISLACIÓN LOCAL, MICROSOFT EXCLUYE LAS GARANTÍAS IMPLÍCITAS DE COMERCIABILIDAD, IDONEIDAD PARA UN PROPÓSITO ESPECÍFICO Y AUSENCIA DE INFRACCIÓN DE DERECHOS.</w:t>
      </w:r>
      <w:r>
        <w:t xml:space="preserve"> Si su legislación local le otorga garantías o condiciones implícitas a pesar de lo previsto en esta cláusula de exclusión, los recursos de los que dispondrá serán los dispuestos en la cláusula anterior "Recursos ante un Incumplimiento de la Garantía", en la medida en que la legislación de su jurisdicción lo permita.</w:t>
      </w:r>
    </w:p>
    <w:p w:rsidR="005F22E5" w:rsidRPr="00A16BD5" w:rsidRDefault="005F22E5" w:rsidP="00233AF8">
      <w:pPr>
        <w:ind w:left="360"/>
      </w:pPr>
      <w:r>
        <w:rPr>
          <w:b/>
        </w:rPr>
        <w:t>PARA AUSTRALIA SOLAMENTE</w:t>
      </w:r>
      <w:r>
        <w:t xml:space="preserve">. Las referencias a la “garantía limitada” son referencias a la garantía que proporciona Microsoft. Esta garantía se otorga de manera adicional a otros derechos y recursos que pueda tener según la legislación, incluidos sus derechos y recursos de acuerdo con las garantías legales conforme a la Ley de Protección al Consumidor de Australia. Nuestros bienes incluyen garantías que no se pueden excluir conforme a la Ley del Consumidor de Australia. Usted tiene derecho a un reemplazo o un reembolso en caso de un error importante y a una indemnización por cualquier otra pérdida o daño razonablemente previsible. También tiene derecho a que los bienes se reparen o reemplacen si no tienen una calidad aceptable, aunque el error no se considere un error importante. Los productos presentados para reparación pueden reemplazarse por productos reacondicionados del mismo tipo que los que se están reemplazando. Pueden utilizarse piezas restauradas para reparar los productos. </w:t>
      </w:r>
    </w:p>
    <w:p w:rsidR="00431D2B" w:rsidRPr="00A16BD5" w:rsidRDefault="00431D2B" w:rsidP="00431D2B">
      <w:pPr>
        <w:pStyle w:val="Heading1Warranty"/>
        <w:widowControl w:val="0"/>
        <w:rPr>
          <w:rFonts w:eastAsia="SimSun"/>
          <w:b/>
          <w:bCs/>
        </w:rPr>
      </w:pPr>
      <w:r>
        <w:rPr>
          <w:b/>
          <w:bCs/>
        </w:rPr>
        <w:t>LIMITACIÓN Y EXCLUSIÓN DE INDEMNIZACIONES POR INCUMPLIMIENTO DE LA GARANTÍA. LA ANTERIOR CLÁUSULA SOBRE LIMITACIÓN Y EXCLUSIÓN DE LA RESPONSABILIDAD SE APLICARÁ A CUALQUIER INCUMPLIMIENTO DE ESTA GARANTÍA LIMITADA.</w:t>
      </w:r>
    </w:p>
    <w:p w:rsidR="00D96E58" w:rsidRDefault="00431D2B" w:rsidP="00E50F1E">
      <w:pPr>
        <w:ind w:left="360"/>
        <w:rPr>
          <w:rFonts w:eastAsia="SimSun"/>
          <w:b/>
          <w:bCs/>
        </w:rPr>
      </w:pPr>
      <w:r>
        <w:rPr>
          <w:b/>
          <w:bCs/>
        </w:rPr>
        <w:t>ESTA GARANTÍA LE OTORGA DERECHOS LEGALES ESPECÍFICOS, AUNQUE TAMBIÉN PUEDE TENER OTROS DERECHOS QUE VARÍAN SEGÚN EL ESTADO. ASIMISMO, PUEDE QUE TENGA DERECHOS QUE VARÍAN SEGÚN EL PAÍS.</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VS2017_ENT_PRO_TRIAL_RTW.2_E</w:t>
      </w:r>
      <w:r w:rsidR="00241DB8">
        <w:t>SN</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1DB8"/>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BE5C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s-AR" w:eastAsia="en-US"/>
    </w:rPr>
  </w:style>
  <w:style w:type="character" w:customStyle="1" w:styleId="Body3Char">
    <w:name w:val="Body 3 Char"/>
    <w:basedOn w:val="DefaultParagraphFont"/>
    <w:uiPriority w:val="99"/>
    <w:rsid w:val="00AD0AEE"/>
    <w:rPr>
      <w:rFonts w:ascii="Tahoma" w:hAnsi="Tahoma" w:cs="Tahoma"/>
      <w:lang w:val="es-A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9B22-3AAD-4603-8C1E-C2473BE1CB5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40658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