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POSTANOWIENIA LICENCYJNE DOTYCZĄCE OPROGRAMOWANIA</w:t>
      </w:r>
    </w:p>
    <w:p w:rsidR="00431D2B" w:rsidRPr="00A16BD5" w:rsidRDefault="00431D2B" w:rsidP="006B2A67">
      <w:pPr>
        <w:pStyle w:val="HeadingSoftwareTitle"/>
        <w:widowControl w:val="0"/>
        <w:rPr>
          <w:rFonts w:eastAsia="SimSun"/>
          <w:sz w:val="19"/>
          <w:szCs w:val="19"/>
        </w:rPr>
      </w:pPr>
      <w:r>
        <w:rPr>
          <w:sz w:val="19"/>
          <w:szCs w:val="19"/>
        </w:rPr>
        <w:t>MICROSOFT VISUAL STUDIO ENTERPRISE 2017, VISUAL STUDIO PROFESSIONAL 2017,</w:t>
      </w:r>
      <w:r>
        <w:rPr>
          <w:sz w:val="19"/>
          <w:szCs w:val="19"/>
        </w:rPr>
        <w:br/>
        <w:t>VISUAL STUDIO TEST PROFESSIONAL 2017 I WERSJA PRÓBNA</w:t>
      </w:r>
    </w:p>
    <w:p w:rsidR="00431D2B" w:rsidRPr="00A16BD5" w:rsidRDefault="00431D2B" w:rsidP="0005493C">
      <w:pPr>
        <w:rPr>
          <w:rFonts w:eastAsia="SimSun"/>
        </w:rPr>
      </w:pPr>
      <w:r>
        <w:t xml:space="preserve">Niniejsze postanowienia licencyjne stanowią umowę między Licencjobiorcą a Microsoft Corporation (albo, w zależności od miejsca zamieszkania Licencjobiorcy, jednym z podmiotów stowarzyszonych Microsoft Corporation). Mają one zastosowanie do wskazanego powyżej oprogramowania. Niniejsze postanowienia mają również zastosowanie do wszelkich usług i aktualizacji Microsoft dla niniejszego oprogramowania, z wyjątkiem tych, którym towarzyszą inne postanowienia. </w:t>
      </w:r>
    </w:p>
    <w:p w:rsidR="00431D2B" w:rsidRPr="00A16BD5" w:rsidRDefault="00431D2B" w:rsidP="0005493C">
      <w:pPr>
        <w:pStyle w:val="Preamble"/>
        <w:widowControl w:val="0"/>
        <w:spacing w:before="0" w:after="0"/>
        <w:rPr>
          <w:rFonts w:eastAsia="SimSun"/>
        </w:rPr>
      </w:pPr>
      <w:r>
        <w:t>KORZYSTANIE PRZEZ LICENCJOBIORCĘ Z OPROGRAMOWANIA OZNACZA, ŻE AKCEPTUJE ON NINIEJSZE POSTANOWIENIA. JEŚLI LICENCJOBIORCA ICH NIE AKCEPTUJE, NIE MOŻE KORZYSTAĆ Z OPROGRAMOWANIA. W TAKIM PRZYPADKU LICENCJOBIORCA POWINIEN ZWRÓCIĆ OPROGRAMOWANIE SPRZEDAWCY W CELU UZYSKANIA ZWROTU ZAPŁACONEJ KWOTY LUB INNEJ FORMY REKOMPENSATY.</w:t>
      </w:r>
      <w:r>
        <w:rPr>
          <w:b w:val="0"/>
          <w:bCs w:val="0"/>
        </w:rPr>
        <w:t xml:space="preserve"> Jeśli wspomniana kwota nie zostanie zwrócona, Licencjobiorca powinien skontaktować się z Microsoft w celu uzyskania szczegółowych informacji o zasadach obowiązujących w tym zakresie w Microsoft. Więcej informacji na ten temat można znaleźć na stronie </w:t>
      </w:r>
      <w:r>
        <w:rPr>
          <w:rStyle w:val="Hyperlink"/>
          <w:b w:val="0"/>
          <w:bCs w:val="0"/>
          <w:color w:val="auto"/>
          <w:u w:val="none"/>
        </w:rPr>
        <w:t>www.microsoft.com/worldwide</w:t>
      </w:r>
      <w:r>
        <w:rPr>
          <w:b w:val="0"/>
          <w:bCs w:val="0"/>
        </w:rPr>
        <w:t>. W Stanach Zjednoczonych i Kanadzie należy zadzwonić pod numer telefonu (800) MICROSOFT lub odwiedzić stronę www.microsoft.com/info/nareturns.htm.</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PRAWA DO KORZYSTANIA Z WERSJI PRÓBNEJ. </w:t>
      </w:r>
      <w:r>
        <w:rPr>
          <w:b w:val="0"/>
          <w:bCs w:val="0"/>
        </w:rPr>
        <w:t xml:space="preserve">Jeśli dane oprogramowanie dostępne jest w wersji próbnej, używanie takiej wersji próbnej podlega postanowieniom zawartym w niniejszym punkcie. </w:t>
      </w:r>
    </w:p>
    <w:p w:rsidR="00B43CFA" w:rsidRPr="00F75C3A" w:rsidRDefault="00C265F3" w:rsidP="001D3A43">
      <w:pPr>
        <w:pStyle w:val="Heading1"/>
        <w:numPr>
          <w:ilvl w:val="0"/>
          <w:numId w:val="12"/>
        </w:numPr>
        <w:rPr>
          <w:b w:val="0"/>
          <w:bCs w:val="0"/>
        </w:rPr>
      </w:pPr>
      <w:r>
        <w:t xml:space="preserve">POSTANOWIENIA OGÓLNE. </w:t>
      </w:r>
      <w:r>
        <w:rPr>
          <w:b w:val="0"/>
          <w:bCs w:val="0"/>
        </w:rPr>
        <w:t xml:space="preserve">Licencjobiorca może korzystać z dowolnej liczby kopii wersji próbnej na swoich urządzeniach. Licencjobiorca może jedynie używać wersji próbnej oprogramowania tylko do celów własnej ewaluacji i jedynie przez okres próbny. Licencjobiorca nie może rozpowszechniać ani wdrażać w środowisku produkcyjnym aplikacji utworzonych przy użyciu wersji próbnej. Licencjobiorca może przeprowadzać testy obciążenia dla maksymalnie 250 wirtualnych użytkowników podczas okresu próbnego. </w:t>
      </w:r>
    </w:p>
    <w:p w:rsidR="00AE4C6E" w:rsidRPr="00F75C3A" w:rsidRDefault="00B43CFA" w:rsidP="001D3A43">
      <w:pPr>
        <w:pStyle w:val="ListParagraph"/>
        <w:numPr>
          <w:ilvl w:val="0"/>
          <w:numId w:val="12"/>
        </w:numPr>
        <w:rPr>
          <w:b/>
        </w:rPr>
      </w:pPr>
      <w:r>
        <w:rPr>
          <w:b/>
        </w:rPr>
        <w:t>OKRES PRÓBNY I PRZEKSZTAŁCENIE.</w:t>
      </w:r>
      <w:r>
        <w:t xml:space="preserve"> Okres próbny trwa trzydzieści (30) dni od dnia instalacji wersji próbnej i można go przedłużyć o dozwolony okres przedłużenia. Gdy okres próbny dobiegnie końca, wersja próbna przestanie działać. Okres próbny można przedłużyć o kolejne dziewięćdziesiąt (90) dni po zalogowaniu się do oprogramowania. Kiedy wersja próbna przestanie działać, Licencjobiorca może nie mieć dostępu do używanych przez nią danych. Licencjobiorca może w dowolnym momencie przekształcić prawa do korzystania z wersji próbnej na pełne prawa do używania oprogramowania, kupując pełną licencję. </w:t>
      </w:r>
    </w:p>
    <w:p w:rsidR="007B61B3" w:rsidRPr="00F75C3A" w:rsidRDefault="007B61B3" w:rsidP="001D3A43">
      <w:pPr>
        <w:pStyle w:val="Heading1"/>
        <w:numPr>
          <w:ilvl w:val="0"/>
          <w:numId w:val="8"/>
        </w:numPr>
        <w:rPr>
          <w:caps/>
        </w:rPr>
      </w:pPr>
      <w:r>
        <w:rPr>
          <w:caps/>
        </w:rPr>
        <w:t>Wyłączenie odpowiedzialności z tytułu gwarancji i rękojmi. WERJSA PRÓBNA licencjonowana jest w takim stanie, w jakim się znajduje. To Państwo ponoszą wszelkie ryzyko związane z jej używaniem.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r>
        <w:t>.</w:t>
      </w:r>
    </w:p>
    <w:p w:rsidR="00126816" w:rsidRPr="00F75C3A" w:rsidRDefault="00126816" w:rsidP="002E2EB2">
      <w:pPr>
        <w:pStyle w:val="Body1"/>
        <w:ind w:left="714"/>
        <w:rPr>
          <w:b/>
          <w:bCs/>
          <w:caps/>
        </w:rPr>
      </w:pPr>
      <w:r>
        <w:rPr>
          <w:b/>
          <w:bCs/>
          <w:caps/>
        </w:rPr>
        <w:t>POSTANOWIENIE DOTYCZĄCE LICENCJOBIORCÓW W AUSTRALII — Australijska ustawa o ochronie konsumentów (Australian Consumer Law) przyznaje Licencjobiorcy określone gwarancje i żadne z zawartych tu postanowień nie ma na celu ograniczenia praw przysługujących Licencjobiorcy na mocy tej ustawy.</w:t>
      </w:r>
    </w:p>
    <w:p w:rsidR="007B61B3" w:rsidRPr="00F6165D" w:rsidRDefault="00BB1860" w:rsidP="003D15FA">
      <w:pPr>
        <w:pStyle w:val="Heading1"/>
        <w:numPr>
          <w:ilvl w:val="0"/>
          <w:numId w:val="8"/>
        </w:numPr>
        <w:rPr>
          <w:b w:val="0"/>
          <w:bCs w:val="0"/>
        </w:rPr>
      </w:pPr>
      <w:r>
        <w:t>POMOC TECHNICZNA.</w:t>
      </w:r>
      <w:r>
        <w:rPr>
          <w:b w:val="0"/>
          <w:bCs w:val="0"/>
        </w:rPr>
        <w:t xml:space="preserve"> Niniejsza wersja próbna jest udostępniana Licencjobiorcy „w stanie takim, w jakim jest”, Microsoft może zatem nie świadczyć związanych z tą aplikacją usług pomocy technicznej.</w:t>
      </w:r>
    </w:p>
    <w:p w:rsidR="007B61B3" w:rsidRPr="003D15FA" w:rsidRDefault="007B61B3" w:rsidP="003D15FA">
      <w:pPr>
        <w:pStyle w:val="Heading1"/>
        <w:numPr>
          <w:ilvl w:val="0"/>
          <w:numId w:val="8"/>
        </w:numPr>
        <w:rPr>
          <w:b w:val="0"/>
          <w:bCs w:val="0"/>
        </w:rPr>
      </w:pPr>
      <w:r>
        <w:rPr>
          <w:caps/>
        </w:rPr>
        <w:t>Ograniczenie odpowiedzialności odszkodowawczej.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ani szkód ubocznych.</w:t>
      </w:r>
    </w:p>
    <w:p w:rsidR="007B61B3" w:rsidRPr="00F6165D" w:rsidRDefault="007B61B3" w:rsidP="00F125D4">
      <w:pPr>
        <w:pStyle w:val="Body1"/>
        <w:ind w:left="714"/>
      </w:pPr>
      <w:r>
        <w:t xml:space="preserve">Ograniczenie to ma zastosowanie w przypadku (a) wszelkich kwestii dotyczących wersji próbnej oprogramowania, usług, treści (w tym kodu) udostępnianych na stronach internetowych osób trzecich lub programów osób trzecich, a także w przypadku (b) roszczeń z tytułu naruszenia umowy, rękojmi, gwarancji lub </w:t>
      </w:r>
      <w:r>
        <w:lastRenderedPageBreak/>
        <w:t>zapewnień lub z tytułu odpowiedzialności obiektywnej, niedbalstwa lub czynu niedozwolonego, w zakresie dozwolonym przez prawo właściwe.</w:t>
      </w:r>
    </w:p>
    <w:p w:rsidR="00B2530B" w:rsidRPr="00F6165D" w:rsidRDefault="007B61B3" w:rsidP="00334264">
      <w:pPr>
        <w:ind w:left="720" w:hanging="6"/>
      </w:pPr>
      <w:r>
        <w:t>Ograniczenie to ma zastosowanie także w przypadku, gdy spółka Microsoft wiedziała lub powinna była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t xml:space="preserve">POSTANOWIENIA DOTYCZĄCE LICENCJI PEŁNEJ NA OPROGRAMOWANIE: </w:t>
      </w:r>
      <w:r>
        <w:rPr>
          <w:b w:val="0"/>
        </w:rPr>
        <w:t xml:space="preserve">Po uzyskaniu ważnej licencji i wprowadzeniu klucza produktu lub zalogowaniu się do oprogramowania Licencjobiorcę obowiązują poniższe postanowienia. Licencjobiorca nie może udostępniać posiadanego klucza produktu lub danych logowania osobom trzecim. </w:t>
      </w:r>
    </w:p>
    <w:p w:rsidR="007B61B3" w:rsidRPr="00A16BD5" w:rsidRDefault="007B61B3" w:rsidP="007B61B3">
      <w:pPr>
        <w:pStyle w:val="Heading1"/>
        <w:widowControl w:val="0"/>
        <w:ind w:left="360" w:hanging="360"/>
        <w:rPr>
          <w:rFonts w:eastAsia="SimSun"/>
        </w:rPr>
      </w:pPr>
      <w:r>
        <w:t>WPROWADZENIE.</w:t>
      </w:r>
    </w:p>
    <w:p w:rsidR="007B61B3" w:rsidRPr="00A16BD5" w:rsidRDefault="007B61B3" w:rsidP="001142D7">
      <w:pPr>
        <w:pStyle w:val="Heading2"/>
        <w:widowControl w:val="0"/>
        <w:tabs>
          <w:tab w:val="clear" w:pos="1533"/>
          <w:tab w:val="num" w:pos="720"/>
        </w:tabs>
        <w:ind w:left="720" w:hanging="360"/>
        <w:rPr>
          <w:rFonts w:eastAsia="SimSun"/>
          <w:b w:val="0"/>
        </w:rPr>
      </w:pPr>
      <w:r>
        <w:t xml:space="preserve">Oprogramowanie </w:t>
      </w:r>
      <w:r>
        <w:rPr>
          <w:b w:val="0"/>
          <w:bCs w:val="0"/>
        </w:rPr>
        <w:t>Oprogramowanie obejmuje narzędzia programistyczne, aplikacje i dokumentację.</w:t>
      </w:r>
    </w:p>
    <w:p w:rsidR="007B61B3" w:rsidRPr="00A16BD5" w:rsidRDefault="007B61B3" w:rsidP="001142D7">
      <w:pPr>
        <w:pStyle w:val="Heading2"/>
        <w:widowControl w:val="0"/>
        <w:ind w:left="720" w:hanging="360"/>
        <w:rPr>
          <w:rFonts w:eastAsia="SimSun"/>
          <w:b w:val="0"/>
        </w:rPr>
      </w:pPr>
      <w:r>
        <w:t xml:space="preserve">Model licencjonowania. </w:t>
      </w:r>
      <w:r>
        <w:rPr>
          <w:b w:val="0"/>
          <w:bCs w:val="0"/>
        </w:rPr>
        <w:t>Oprogramowanie jest licencjonowane w trybie na użytkownika.</w:t>
      </w:r>
    </w:p>
    <w:p w:rsidR="007B61B3" w:rsidRPr="00A16BD5" w:rsidRDefault="007B61B3" w:rsidP="007B61B3">
      <w:pPr>
        <w:pStyle w:val="Heading1"/>
        <w:widowControl w:val="0"/>
        <w:ind w:left="360" w:hanging="360"/>
        <w:rPr>
          <w:rFonts w:eastAsia="SimSun"/>
        </w:rPr>
      </w:pPr>
      <w:r>
        <w:t>PRAWA DO UŻYWANIA</w:t>
      </w:r>
    </w:p>
    <w:p w:rsidR="00C8775E" w:rsidRPr="00A16BD5" w:rsidRDefault="009C45CA" w:rsidP="001142D7">
      <w:pPr>
        <w:pStyle w:val="Heading2"/>
        <w:widowControl w:val="0"/>
        <w:tabs>
          <w:tab w:val="clear" w:pos="1533"/>
          <w:tab w:val="num" w:pos="720"/>
        </w:tabs>
        <w:ind w:left="720" w:hanging="360"/>
        <w:rPr>
          <w:rFonts w:eastAsia="SimSun"/>
          <w:b w:val="0"/>
          <w:bCs w:val="0"/>
        </w:rPr>
      </w:pPr>
      <w:r>
        <w:t xml:space="preserve">Postanowienia ogólne. </w:t>
      </w:r>
      <w:r>
        <w:rPr>
          <w:b w:val="0"/>
          <w:bCs w:val="0"/>
        </w:rPr>
        <w:t>Jeden użytkownik może używać kopii oprogramowania na urządzeniach Licencjobiorcy w celu rozwijania i testowania aplikacji. Powyższe dotyczy korzystania z kopii oprogramowania na serwerach wewnętrznych, które są przeznaczone wyłącznie do użytku własnego Licencjobiorcy. Licencjobiorca nie może rozdzielać składników oprogramowania i uruchamiać ich w środowisku produkcyjnym lub na urządzeniach osób trzecich (o ile w niniejszej umowie nie określono inaczej) lub w celu innym niż projektowanie i testowanie aplikacji Licencjobiorcy. Uruchamianie oprogramowania na platformie Microsoft Azure wymaga oddzielnej licencji.</w:t>
      </w:r>
    </w:p>
    <w:p w:rsidR="00F774A9" w:rsidRPr="00A16BD5" w:rsidRDefault="003F57F8" w:rsidP="001142D7">
      <w:pPr>
        <w:pStyle w:val="Heading2"/>
        <w:widowControl w:val="0"/>
        <w:tabs>
          <w:tab w:val="clear" w:pos="1533"/>
          <w:tab w:val="num" w:pos="720"/>
        </w:tabs>
        <w:ind w:left="720" w:hanging="360"/>
        <w:rPr>
          <w:rFonts w:eastAsia="SimSun"/>
          <w:b w:val="0"/>
          <w:bCs w:val="0"/>
        </w:rPr>
      </w:pPr>
      <w:r>
        <w:t>Obciążenia.</w:t>
      </w:r>
      <w:r>
        <w:rPr>
          <w:b w:val="0"/>
          <w:bCs w:val="0"/>
        </w:rPr>
        <w:t xml:space="preserve"> Niniejsze postanowienia licencyjne mają zastosowanie do używania przez Licencjobiorcę Obciążeń udostępnionych mu w ramach oprogramowania</w:t>
      </w:r>
      <w:r>
        <w:t xml:space="preserve"> </w:t>
      </w:r>
      <w:r>
        <w:rPr>
          <w:b w:val="0"/>
        </w:rPr>
        <w:t>z wyjątkiem zakresu, w jakim Obciążenie lub składnik Obciążenia jest udostępniany na mocy innych postanowień.</w:t>
      </w:r>
    </w:p>
    <w:p w:rsidR="004105CE" w:rsidRPr="00A16BD5" w:rsidRDefault="004105CE" w:rsidP="001142D7">
      <w:pPr>
        <w:pStyle w:val="Heading2"/>
        <w:widowControl w:val="0"/>
        <w:tabs>
          <w:tab w:val="clear" w:pos="1533"/>
          <w:tab w:val="num" w:pos="720"/>
        </w:tabs>
        <w:ind w:left="720" w:hanging="360"/>
        <w:rPr>
          <w:rFonts w:eastAsia="SimSun"/>
          <w:b w:val="0"/>
          <w:bCs w:val="0"/>
        </w:rPr>
      </w:pPr>
      <w:r>
        <w:t>Używanie do celów demonstracyjnych</w:t>
      </w:r>
      <w:r>
        <w:rPr>
          <w:b w:val="0"/>
          <w:bCs w:val="0"/>
        </w:rPr>
        <w:t>. Dozwolony powyżej sposób używania obejmuje używanie oprogramowania w celu demonstracji aplikacji Licencjobiorcy.</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Kopia zapasowa. </w:t>
      </w:r>
      <w:r>
        <w:rPr>
          <w:b w:val="0"/>
          <w:bCs w:val="0"/>
        </w:rPr>
        <w:t>Licencjobiorca może sporządzić jedną kopię zapasową oprogramowania w celu jego ponownej instalacji.</w:t>
      </w:r>
    </w:p>
    <w:p w:rsidR="007B61B3" w:rsidRPr="00A16BD5" w:rsidRDefault="00165DA5" w:rsidP="007B61B3">
      <w:pPr>
        <w:pStyle w:val="Heading1"/>
        <w:keepNext/>
        <w:tabs>
          <w:tab w:val="num" w:pos="540"/>
        </w:tabs>
        <w:ind w:left="360" w:hanging="360"/>
      </w:pPr>
      <w:r>
        <w:t>POSTANOWIENIA DOTYCZĄCE POSZCZEGÓLNYCH SKŁADNIKÓW.</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Narzędzia. </w:t>
      </w:r>
      <w:r>
        <w:rPr>
          <w:b w:val="0"/>
          <w:bCs w:val="0"/>
        </w:rPr>
        <w:t xml:space="preserve">Oprogramowanie zawiera składniki wymienione na liście Narzędzi dostępnej pod adresem </w:t>
      </w:r>
      <w:hyperlink r:id="rId8" w:history="1">
        <w:r>
          <w:rPr>
            <w:rStyle w:val="Hyperlink"/>
            <w:b w:val="0"/>
          </w:rPr>
          <w:t>https://go.microsoft.com/fwlink/?linkid=823097</w:t>
        </w:r>
      </w:hyperlink>
      <w:r>
        <w:rPr>
          <w:b w:val="0"/>
          <w:color w:val="1F4E79"/>
        </w:rPr>
        <w:t xml:space="preserve">. </w:t>
      </w:r>
      <w:r>
        <w:rPr>
          <w:b w:val="0"/>
          <w:bCs w:val="0"/>
        </w:rPr>
        <w:t>Licencjobiorca może dokonywać kopiowania i instalacji tych składników, o ile stanowią one część oprogramowania, na własnych urządzeniach w celu debugowania i wdrażania aplikacji oraz baz danych, które Licencjobiorca opracował przy użyciu oprogramowania. Należy pamiętać, że Narzędzia są przeznaczone do tymczasowego użycia i Microsoft może nie być w stanie dokonać naprawy lub aktualizacji danego Narzędzia oddzielnie od reszty oprogramowania. Ponadto niektóre Narzędzia z definicji mogą umożliwiać osobom trzecim dostęp do urządzeń, na których zostały zainstalowane. Dlatego po zakończeniu operacji debugowania lub wdrażania aplikacji i bazy danych zaleca się usunięcie wszystkich zainstalowanych narzędzi. Microsoft nie ponosi odpowiedzialności za używanie lub uzyskiwanie przez osoby trzecie dostępu do Narzędzi zainstalowanych przez Licencjobiorcę na dowolnym urządzeniu.</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Narzędzia kompilacji.  </w:t>
      </w:r>
      <w:r>
        <w:rPr>
          <w:b w:val="0"/>
        </w:rPr>
        <w:t>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za pośrednictwem platformy Azure przez Licencjobiorcę lub są przeznaczone wyłącznie do użytku Licencjobiorcy (łącznie „Urządzenia z Kompilacją”).  Licencjobiorca i inni użytkownicy w jego organizacji mogą używać tych plików na Urządzeniach z Kompilacją wyłącznie w celu kompilowania, tworzenia i weryfikowania aplikacji oraz uruchamiania testów jakości i wydajności tych aplikacji w ramach procesu kompilacji.  Termin „aplikacje” oznacza aplikacje opracowane przez Licencjobiorcę i innych użytkowników w jego organizacji objętych stosowną licencją na używanie oprogramowania.</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Składniki czcionek. </w:t>
      </w:r>
      <w:r>
        <w:rPr>
          <w:b w:val="0"/>
        </w:rPr>
        <w:t xml:space="preserve">Gdy oprogramowanie jest uruchomione, mogą Państwo używać czcionek tego oprogramowania do wyświetlania i drukowania zawartości. Licencjobiorca może jedynie: (i) osadzać czcionki w </w:t>
      </w:r>
      <w:r>
        <w:rPr>
          <w:b w:val="0"/>
        </w:rPr>
        <w:lastRenderedPageBreak/>
        <w:t>zawartości, biorąc pod uwagę ograniczenia dotyczące ich osadzania; oraz (ii) tymczasowo pobierać je na drukarkę lub inne urządzenie wyjściowe, aby umożliwić drukowanie zawartości.</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Licencje na inne składniki</w:t>
      </w:r>
      <w:r>
        <w:rPr>
          <w:b w:val="0"/>
          <w:bCs w:val="0"/>
        </w:rPr>
        <w:t>.</w:t>
      </w:r>
    </w:p>
    <w:p w:rsidR="00C55735" w:rsidRPr="00A16BD5" w:rsidRDefault="00F52467" w:rsidP="00BD68D7">
      <w:pPr>
        <w:pStyle w:val="Heading3"/>
        <w:numPr>
          <w:ilvl w:val="2"/>
          <w:numId w:val="13"/>
        </w:numPr>
      </w:pPr>
      <w:r>
        <w:rPr>
          <w:u w:val="single"/>
        </w:rPr>
        <w:t>Platformy Microsoft</w:t>
      </w:r>
      <w:r>
        <w:t>. 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w:t>
      </w:r>
      <w:r>
        <w:rPr>
          <w:color w:val="002060"/>
        </w:rPr>
        <w:t xml:space="preserve"> </w:t>
      </w:r>
      <w:r>
        <w:t>„Licencje” Microsoft dołączonym do oprogramowania, z zastrzeżeniem, że jeśli postanowienia licencyjne dotyczące tych składników umieszczono także bezpośrednio w katalogu instalacyjnym, to takie postanowienia mają wówczas charakter nadrzędny.</w:t>
      </w:r>
    </w:p>
    <w:p w:rsidR="00F52467" w:rsidRPr="00A16BD5" w:rsidRDefault="00F52467" w:rsidP="00BD68D7">
      <w:pPr>
        <w:pStyle w:val="Heading3"/>
        <w:numPr>
          <w:ilvl w:val="2"/>
          <w:numId w:val="13"/>
        </w:numPr>
      </w:pPr>
      <w:r>
        <w:rPr>
          <w:u w:val="single"/>
        </w:rPr>
        <w:t>Zasoby dla programistów</w:t>
      </w:r>
      <w:r>
        <w:t xml:space="preserve">. Oprogramowanie obejmuje kompilatory, języki, środowiska uruchomieniowe, środowiska i inne zasoby. Te składniki mogą podlegać odrębnym umowom i mieć własne zasady udzielania wsparcia w zakresie produktów. Lista takich składników znajduje się pod adresem </w:t>
      </w:r>
      <w:hyperlink r:id="rId9" w:history="1">
        <w:r>
          <w:rPr>
            <w:rStyle w:val="Hyperlink"/>
          </w:rPr>
          <w:t>https://support.microsoft.com</w:t>
        </w:r>
      </w:hyperlink>
      <w:r>
        <w:rPr>
          <w:b/>
        </w:rPr>
        <w:t>.</w:t>
      </w:r>
    </w:p>
    <w:p w:rsidR="00693D60" w:rsidRDefault="00EB5DDB" w:rsidP="00024CC2">
      <w:pPr>
        <w:pStyle w:val="Heading3"/>
        <w:numPr>
          <w:ilvl w:val="0"/>
          <w:numId w:val="0"/>
        </w:numPr>
        <w:ind w:left="1077" w:firstLine="6"/>
      </w:pPr>
      <w:r>
        <w:rPr>
          <w:u w:val="single"/>
        </w:rPr>
        <w:t>Składniki pochodzące od osób trzecich</w:t>
      </w:r>
      <w:r>
        <w:t xml:space="preserve">. Oprogramowanie może zawierać składniki pochodzące od osób trzecich, objęte odrębnymi informacjami prawnymi lub podlegające innym umowom, zgodnie z ewentualnym opisem w plikach ThirdPartyNotices dołączonych do oprogramowania.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MENEDŻERY PAKIETÓW. </w:t>
      </w:r>
      <w:r>
        <w:rPr>
          <w:b w:val="0"/>
          <w:bCs w:val="0"/>
        </w:rPr>
        <w:t xml:space="preserve">Oprogramowanie zawiera </w:t>
      </w:r>
      <w:r>
        <w:rPr>
          <w:b w:val="0"/>
        </w:rPr>
        <w:t>menedżery pakietów, takie jak NuGet, które dają Licencjobiorcy możliwość pobierania innych pakietów oprogramowania pochodzącego od Microsoft i osób trzecich w celu używania ich w aplikacji Licencjobiorcy. Te pakiety podlegają odnośnym licencjom, a nie niniejszej umowie. Microsoft nie rozpowszechnia żadnych pakietów osób trzecich, a także nie udziela na nie licencji ani żadnej gwarancji.</w:t>
      </w:r>
    </w:p>
    <w:p w:rsidR="00431D2B" w:rsidRPr="00A16BD5" w:rsidRDefault="00D96E58" w:rsidP="009A3A66">
      <w:pPr>
        <w:pStyle w:val="Heading1"/>
        <w:widowControl w:val="0"/>
        <w:ind w:left="360" w:hanging="360"/>
        <w:rPr>
          <w:rFonts w:eastAsia="SimSun"/>
          <w:b w:val="0"/>
          <w:bCs w:val="0"/>
        </w:rPr>
      </w:pPr>
      <w:r>
        <w:t xml:space="preserve">KOD DYSTRYBUCYJNY. </w:t>
      </w:r>
      <w:r>
        <w:rPr>
          <w:b w:val="0"/>
          <w:bCs w:val="0"/>
        </w:rPr>
        <w:t>Licencjobiorca może rozpowszechniać w swoich aplikacjach kod zawarty w oprogramowaniu, zgodnie z postanowieniami niniejszej Sekcji. (Na potrzeby tego punktu termin „rozpowszechnianie” obejmuje również wdrażanie aplikacji Licencjobiorcy w celu udostępnienia ich w Internecie osobom trzecim).</w:t>
      </w:r>
    </w:p>
    <w:p w:rsidR="00431D2B" w:rsidRPr="00A16BD5" w:rsidRDefault="00431D2B" w:rsidP="004A47C4">
      <w:pPr>
        <w:pStyle w:val="Heading3Bold"/>
        <w:widowControl w:val="0"/>
        <w:numPr>
          <w:ilvl w:val="2"/>
          <w:numId w:val="7"/>
        </w:numPr>
        <w:tabs>
          <w:tab w:val="clear" w:pos="1077"/>
        </w:tabs>
        <w:ind w:left="720" w:hanging="360"/>
        <w:rPr>
          <w:rFonts w:eastAsia="SimSun"/>
        </w:rPr>
      </w:pPr>
      <w:r>
        <w:t xml:space="preserve">Prawa do używania i rozpowszechniania. </w:t>
      </w:r>
      <w:r>
        <w:rPr>
          <w:b w:val="0"/>
          <w:bCs w:val="0"/>
        </w:rPr>
        <w:t>Kod i pliki tekstowe wymienione poniżej są</w:t>
      </w:r>
      <w:r>
        <w:t xml:space="preserve"> „Kodem Dystrybucyjnym”.</w:t>
      </w:r>
    </w:p>
    <w:p w:rsidR="00431D2B" w:rsidRPr="00A16BD5" w:rsidRDefault="00431D2B" w:rsidP="00E2247B">
      <w:pPr>
        <w:pStyle w:val="Bullet4Underlined"/>
        <w:widowControl w:val="0"/>
        <w:ind w:left="1080" w:hanging="360"/>
        <w:rPr>
          <w:rFonts w:eastAsia="SimSun"/>
          <w:u w:val="none"/>
        </w:rPr>
      </w:pPr>
      <w:r>
        <w:t>REDIST.TXT Files</w:t>
      </w:r>
      <w:r>
        <w:rPr>
          <w:u w:val="none"/>
        </w:rPr>
        <w:t xml:space="preserve">. Licencjobiorca może kopiować i rozpowszechniać w postaci kodu wynikowego kod wymieniony na liście REDIST dostępnej pod adresem </w:t>
      </w:r>
      <w:hyperlink r:id="rId10" w:history="1">
        <w:r>
          <w:rPr>
            <w:rStyle w:val="Hyperlink"/>
          </w:rPr>
          <w:t>https://go.microsoft.com/fwlink/?linkid=823097</w:t>
        </w:r>
      </w:hyperlink>
      <w:r>
        <w:rPr>
          <w:u w:val="none"/>
        </w:rPr>
        <w:t>.</w:t>
      </w:r>
    </w:p>
    <w:p w:rsidR="00431D2B" w:rsidRPr="00A16BD5" w:rsidRDefault="00431D2B" w:rsidP="0066666D">
      <w:pPr>
        <w:pStyle w:val="Bullet4Underlined"/>
        <w:widowControl w:val="0"/>
        <w:ind w:left="1080" w:hanging="360"/>
        <w:rPr>
          <w:rFonts w:eastAsia="SimSun"/>
          <w:u w:val="none"/>
        </w:rPr>
      </w:pPr>
      <w:r>
        <w:t>Przykładowy kod, szablony i style</w:t>
      </w:r>
      <w:r>
        <w:rPr>
          <w:u w:val="none"/>
        </w:rPr>
        <w:t>. Licencjobiorca może kopiować, modyfikować i rozpowszechniać w postaci kodu źródłowego i wynikowego kod oznaczony jako „sample”, „template”, „simple styles” lub „sketch styles”.</w:t>
      </w:r>
    </w:p>
    <w:p w:rsidR="00431D2B" w:rsidRPr="00A16BD5" w:rsidRDefault="00431D2B" w:rsidP="001142D7">
      <w:pPr>
        <w:pStyle w:val="Bullet4Underlined"/>
        <w:widowControl w:val="0"/>
        <w:ind w:left="1080" w:hanging="360"/>
        <w:rPr>
          <w:rFonts w:eastAsia="SimSun"/>
          <w:u w:val="none"/>
        </w:rPr>
      </w:pPr>
      <w:r>
        <w:t>Biblioteka Obrazów</w:t>
      </w:r>
      <w:r>
        <w:rPr>
          <w:u w:val="none"/>
        </w:rPr>
        <w:t xml:space="preserve">. Licencjobiorca może — zgodnie z opisem w dokumentacji oprogramowania — kopiować i rozpowszechniać obrazy, grafikę i animacje znajdujące się w Bibliotece Obrazów. </w:t>
      </w:r>
    </w:p>
    <w:p w:rsidR="00431D2B" w:rsidRPr="00A16BD5" w:rsidRDefault="00431D2B" w:rsidP="001142D7">
      <w:pPr>
        <w:pStyle w:val="Bullet4Underlined"/>
        <w:widowControl w:val="0"/>
        <w:ind w:left="1080" w:hanging="360"/>
        <w:rPr>
          <w:rFonts w:eastAsia="SimSun"/>
          <w:u w:val="none"/>
        </w:rPr>
      </w:pPr>
      <w:r>
        <w:t>Rozpowszechnianie przez osoby trzecie</w:t>
      </w:r>
      <w:r>
        <w:rPr>
          <w:u w:val="none"/>
        </w:rPr>
        <w:t>. Licencjobiorca może zezwolić dystrybutorom swoich aplikacji na kopiowanie i rozpowszechnianie Kodu Dystrybucyjnego jako części tych aplikacji.</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Wymagania dotyczące rozpowszechniania. </w:t>
      </w:r>
      <w:r>
        <w:rPr>
          <w:b w:val="0"/>
          <w:bCs w:val="0"/>
        </w:rPr>
        <w:t>W przypadku każdego rozpowszechnianego przez siebie Kodu dystrybucyjnego Licencjobiorca musi:</w:t>
      </w:r>
    </w:p>
    <w:p w:rsidR="00431D2B" w:rsidRPr="00A16BD5" w:rsidRDefault="00431D2B" w:rsidP="001142D7">
      <w:pPr>
        <w:pStyle w:val="Bullet4"/>
        <w:widowControl w:val="0"/>
        <w:ind w:left="1080" w:hanging="360"/>
        <w:rPr>
          <w:rFonts w:eastAsia="SimSun"/>
        </w:rPr>
      </w:pPr>
      <w:r>
        <w:t>dodawać do niego w swoich aplikacjach znaczące i podstawowe funkcje;</w:t>
      </w:r>
    </w:p>
    <w:p w:rsidR="00431D2B" w:rsidRPr="00A16BD5" w:rsidRDefault="00431D2B" w:rsidP="001142D7">
      <w:pPr>
        <w:pStyle w:val="Bullet4"/>
        <w:widowControl w:val="0"/>
        <w:ind w:left="1080" w:hanging="360"/>
        <w:rPr>
          <w:rFonts w:eastAsia="SimSun"/>
        </w:rPr>
      </w:pPr>
      <w:r>
        <w:t>wymagać od dystrybutorów oraz zewnętrznych użytkowników końcowych akceptacji postanowień chroniących Kod Dystrybucyjny w stopniu co najmniej równym ochronie zapewnionej na mocy niniejszych postanowień licencyjnych; oraz</w:t>
      </w:r>
    </w:p>
    <w:p w:rsidR="00431D2B" w:rsidRPr="00F75C3A" w:rsidRDefault="00431D2B" w:rsidP="001142D7">
      <w:pPr>
        <w:pStyle w:val="Bullet4"/>
        <w:widowControl w:val="0"/>
        <w:ind w:left="1080" w:hanging="360"/>
        <w:rPr>
          <w:rFonts w:eastAsia="SimSun"/>
        </w:rPr>
      </w:pPr>
      <w:r>
        <w:t>zwolnić Microsoft od wszelkiej odpowiedzialności, a także bronić Microsoft i naprawić wszelkie szkody powstałe w wyniku roszczeń wniesionych z tytułu rozpowszechniania lub używania programów Licencjobiorcy, z wyjątkiem zakresu, w którym podstawę roszczeń stanowi wyłącznie Kod Dystrybucyjny.</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Ograniczenia dotyczące rozpowszechniania. </w:t>
      </w:r>
      <w:r>
        <w:rPr>
          <w:b w:val="0"/>
          <w:bCs w:val="0"/>
        </w:rPr>
        <w:t>Licencjobiorcy nie wolno:</w:t>
      </w:r>
    </w:p>
    <w:p w:rsidR="00431D2B" w:rsidRPr="00F6165D" w:rsidRDefault="00431D2B" w:rsidP="001142D7">
      <w:pPr>
        <w:pStyle w:val="Bullet4"/>
        <w:widowControl w:val="0"/>
        <w:ind w:left="1080" w:hanging="360"/>
        <w:rPr>
          <w:rFonts w:eastAsia="SimSun"/>
        </w:rPr>
      </w:pPr>
      <w:r>
        <w:t>używać znaków towarowych Microsoft w nazwach swoich aplikacji lub w sposób sugerujący, że aplikacje Licencjobiorcy zostały wyprodukowane przez Microsoft lub są przez Microsoft promowane; lub</w:t>
      </w:r>
    </w:p>
    <w:p w:rsidR="00C544CC" w:rsidRPr="00F6165D" w:rsidRDefault="00C544CC" w:rsidP="001142D7">
      <w:pPr>
        <w:pStyle w:val="Bullet4"/>
        <w:widowControl w:val="0"/>
        <w:ind w:left="1080" w:hanging="360"/>
        <w:rPr>
          <w:rFonts w:eastAsia="SimSun"/>
        </w:rPr>
      </w:pPr>
      <w:r>
        <w:t xml:space="preserve">modyfikować ani rozpowszechniać kodu źródłowego żadnego Kodu dystrybucyjnego w taki sposób, aby </w:t>
      </w:r>
      <w:r>
        <w:lastRenderedPageBreak/>
        <w:t>jakakolwiek jego część podlegała Licencji Wyłączającej. „Licencja Wyłączająca” to licencja, w której przypadku używanie, modyfikowanie lub rozpowszechnianie kodu wymaga, aby (i) kod taki był jawny lub rozpowszechniany w postaci kodu źródłowego; lub (ii) inne osoby były uprawnione do modyfikowania takiego kodu.</w:t>
      </w:r>
    </w:p>
    <w:p w:rsidR="00DE3D59" w:rsidRPr="00DE3D59" w:rsidRDefault="004A52BA" w:rsidP="00C65D16">
      <w:pPr>
        <w:pStyle w:val="Heading1"/>
        <w:widowControl w:val="0"/>
        <w:rPr>
          <w:rFonts w:eastAsia="SimSun"/>
          <w:b w:val="0"/>
        </w:rPr>
      </w:pPr>
      <w:r>
        <w:t xml:space="preserve">DANE. </w:t>
      </w:r>
    </w:p>
    <w:p w:rsidR="00317D11" w:rsidRDefault="000414E4" w:rsidP="003D15FA">
      <w:pPr>
        <w:pStyle w:val="Heading2"/>
        <w:widowControl w:val="0"/>
        <w:tabs>
          <w:tab w:val="clear" w:pos="1533"/>
          <w:tab w:val="num" w:pos="720"/>
          <w:tab w:val="num" w:pos="1080"/>
        </w:tabs>
        <w:ind w:left="720" w:hanging="360"/>
        <w:rPr>
          <w:rFonts w:eastAsia="SimSun"/>
          <w:b w:val="0"/>
        </w:rPr>
      </w:pPr>
      <w:r>
        <w:t>Gromadzenie danych.</w:t>
      </w:r>
      <w:r>
        <w:rPr>
          <w:b w:val="0"/>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 O</w:t>
      </w:r>
      <w:r>
        <w:rPr>
          <w:b w:val="0"/>
          <w:color w:val="000000"/>
        </w:rPr>
        <w:t>kreślone funkcje oprogramowania mogą umożliwiać Licencjobiorcy i Microsoft zbieranie danych od użytkowników aplikacji Licencjobiorcy</w:t>
      </w:r>
      <w:r>
        <w:rPr>
          <w:b w:val="0"/>
        </w:rPr>
        <w:t xml:space="preserve">. Jeśli Licencjobiorca używa tych funkcji, musi przestrzegać przepisów prawa właściwego, w tym stosownie powiadamiać użytkowników aplikacji Licencjobiorcy o tych działaniach, a także udostępnić im kopię przyjętego przez Microsoft oświadczenia o ochronie prywatności. Oświadczenie to można znaleźć pod adresem </w:t>
      </w:r>
      <w:hyperlink r:id="rId11" w:history="1">
        <w:r>
          <w:rPr>
            <w:rStyle w:val="Hyperlink"/>
            <w:b w:val="0"/>
          </w:rPr>
          <w:t>https://go.microsoft.com/fwlink/?LinkID=824704</w:t>
        </w:r>
      </w:hyperlink>
      <w:r>
        <w:rPr>
          <w:rStyle w:val="Hyperlink"/>
          <w:b w:val="0"/>
        </w:rPr>
        <w:t xml:space="preserve">. </w:t>
      </w:r>
      <w:r>
        <w:rPr>
          <w:b w:val="0"/>
        </w:rPr>
        <w:t>Więcej informacji na temat zbierania i używania danych można znaleźć w dokumentacji pomocy i oświadczeniu Microsoft o ochronie prywatności. Używanie przez Licencjobiorcę oprogramowania oznacza zgodę Licencjobiorcy na takie działania.</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Przetwarzanie danych osobowych. </w:t>
      </w:r>
      <w:r>
        <w:rPr>
          <w:b w:val="0"/>
        </w:rPr>
        <w:t xml:space="preserve">W zakresie, w jakim Microsoft jest podmiotem przetwarzającym lub podwykonawcą przetwarzania danych osobowych w związku z oprogramowaniem, Microsoft podejmuje zobowiązania wynikające z przepisów ogólnego rozporządzenia o ochronie danych przyjętego przez UE, określone w Postanowieniach dotyczących Usług Online, które można znaleźć pod adresem  </w:t>
      </w:r>
      <w:hyperlink r:id="rId12" w:history="1">
        <w:r>
          <w:rPr>
            <w:rStyle w:val="Hyperlink"/>
            <w:b w:val="0"/>
          </w:rPr>
          <w:t>http://go.microsoft.com/?linkid=9840733</w:t>
        </w:r>
      </w:hyperlink>
      <w:r>
        <w:rPr>
          <w:b w:val="0"/>
        </w:rPr>
        <w:t xml:space="preserve"> w odniesieniu do wszystkich klientów począwszy od dnia 25 maja 2018 r. </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t>6.</w:t>
      </w:r>
      <w:r>
        <w:tab/>
        <w:t xml:space="preserve">ZAKRES LICENCJI. </w:t>
      </w:r>
      <w:r>
        <w:rPr>
          <w:b w:val="0"/>
          <w:bCs w:val="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Licencjobiorca nie może</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obchodzić ograniczeń technicznych oprogramowania;</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t>odtwarzać, dekompilować ani deasemblować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source, które mogą być dołączone do oprogramowania;</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usuwać, minimalizować, blokować ani modyfikować żadnych umieszczonych w oprogramowaniu powiadomień Microsoft ani dostawców Microsoft;</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używać oprogramowania w sposób niezgodny z prawem;</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t>udostępniać, publikować, pożyczać ani wydzierżawiać oprogramowania, dostarczać go w postaci samodzielnego rozwiązania w celu używania go przez inne osoby.</w:t>
      </w:r>
    </w:p>
    <w:p w:rsidR="00431D2B" w:rsidRPr="00E24474" w:rsidRDefault="00431D2B" w:rsidP="00E24474">
      <w:pPr>
        <w:pStyle w:val="Heading1"/>
        <w:widowControl w:val="0"/>
        <w:numPr>
          <w:ilvl w:val="0"/>
          <w:numId w:val="36"/>
        </w:numPr>
        <w:rPr>
          <w:rFonts w:eastAsia="SimSun"/>
          <w:b w:val="0"/>
        </w:rPr>
      </w:pPr>
      <w:r>
        <w:t xml:space="preserve">DOKUMENTACJA. </w:t>
      </w:r>
      <w:r>
        <w:rPr>
          <w:b w:val="0"/>
          <w:bCs w:val="0"/>
        </w:rPr>
        <w:t>Każda osoba, która jest upoważniona do uzyskiwania dostępu do komputera lub sieci wewnętrznej Licencjobiorcy, może kopiować dokumentację i używać jej jako materiałów referencyjnych na wewnętrzne potrzeby Licencjobiorcy.</w:t>
      </w:r>
    </w:p>
    <w:p w:rsidR="00431D2B" w:rsidRPr="00F6165D" w:rsidRDefault="00431D2B" w:rsidP="00431D2B">
      <w:pPr>
        <w:pStyle w:val="Heading1"/>
        <w:widowControl w:val="0"/>
        <w:rPr>
          <w:rFonts w:eastAsia="SimSun"/>
          <w:b w:val="0"/>
        </w:rPr>
      </w:pPr>
      <w:r>
        <w:t xml:space="preserve">OPROGRAMOWANIE NIE DO ODSPRZEDAŻY. </w:t>
      </w:r>
      <w:r>
        <w:rPr>
          <w:b w:val="0"/>
          <w:bCs w:val="0"/>
        </w:rPr>
        <w:t>Oprogramowanie oznaczone jako „NDO” („NFR”) lub „Nie do odsprzedaży” („Not for Resale”) nie podlega dalszej sprzedaży.</w:t>
      </w:r>
    </w:p>
    <w:p w:rsidR="00431D2B" w:rsidRPr="00F6165D" w:rsidRDefault="00C65D16" w:rsidP="00AE63A4">
      <w:pPr>
        <w:pStyle w:val="Heading1"/>
        <w:widowControl w:val="0"/>
        <w:rPr>
          <w:rFonts w:eastAsia="SimSun"/>
          <w:b w:val="0"/>
        </w:rPr>
      </w:pPr>
      <w:r>
        <w:t xml:space="preserve">PRAWA DO UŻYWANIA INNYCH WERSJI, W TYM WERSJI STARSZYCH. </w:t>
      </w:r>
      <w:r>
        <w:rPr>
          <w:b w:val="0"/>
        </w:rPr>
        <w:t>Licencjobiorca może używać oprogramowania oraz jego wcześniejszych wersji na dowolnym urządzeniu. Licencjobiorca może utworzyć, przechowywać, instalować, uruchamiać zamiast licencjonowanej wersji, kopię lub wystąpienie wcześniejszej wersji, innej dozwolonej wersji językowej lub starszej wersji lub uzyskiwać dostęp do takiej kopii lub takiego wystąpienia</w:t>
      </w:r>
      <w:r>
        <w:rPr>
          <w:b w:val="0"/>
          <w:bCs w:val="0"/>
        </w:rPr>
        <w:t>.</w:t>
      </w:r>
    </w:p>
    <w:p w:rsidR="00431D2B" w:rsidRPr="00A16BD5" w:rsidRDefault="00431D2B" w:rsidP="00431D2B">
      <w:pPr>
        <w:pStyle w:val="Heading1"/>
        <w:widowControl w:val="0"/>
        <w:rPr>
          <w:rFonts w:eastAsia="SimSun"/>
          <w:b w:val="0"/>
        </w:rPr>
      </w:pPr>
      <w:r>
        <w:t xml:space="preserve">DOWÓD POSIADANIA LICENCJI. </w:t>
      </w:r>
      <w:r>
        <w:rPr>
          <w:b w:val="0"/>
          <w:bCs w:val="0"/>
        </w:rPr>
        <w:t xml:space="preserve">Jeśli Licencjobiorca nabył oprogramowanie na płycie lub innym nośniku, posiadanie licencji na takie oprogramowanie potwierdza etykieta certyfikatu autentyczności Microsoft, </w:t>
      </w:r>
      <w:r>
        <w:rPr>
          <w:b w:val="0"/>
          <w:bCs w:val="0"/>
        </w:rPr>
        <w:lastRenderedPageBreak/>
        <w:t xml:space="preserve">towarzyszący jej klucz produktu oraz dowód zakupu. Jeśli Licencjobiorca nabył kopię oprogramowania w trybie online, posiadanie licencji na takie oprogramowanie potwierdza klucz produktu Microsoft otrzymany razem z oprogramowaniem oraz dowód zakupu, a także możliwość dostępu do usługi oprogramowania za pośrednictwem konta Microsoft Licencjobiorcy. Informacje dotyczące określania autentyczności oprogramowania firmy Microsoft można uzyskać pod adresem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PRZEKAZANIE OSOBIE TRZECIEJ.</w:t>
      </w:r>
      <w:r>
        <w:t xml:space="preserve"> Właściwy Licencjobiorca oprogramowania może przekazać takie oprogramowanie oraz przenieść prawa wynikające z niniejszej umowy bezpośrednio na rzecz osoby trzeciej. Przed otrzymaniem oprogramowania osoba ta musi wyrazić zgodę na to, że postanowienia niniejszej umowy mają zastosowanie w przypadku przekazywania oprogramowania i korzystania z niego. Przekazanie musi obejmować oprogramowanie, oryginalny klucz produktu Microsoft oraz (jeśli dotyczy) etykietę Dowodu Posiadania Licencji. Strona dokonująca przekazania jest zobowiązana do odinstalowania wszystkich kopii oprogramowania po przekazaniu ich z urządzenia. Strona dokonująca przekazania nie może zachować żadnych kopii oryginalnego klucza produktu Microsoft, który podlega przekazaniu, i może zachować kopie oprogramowania pod warunkiem posiadania innych licencji na takie oprogramowanie. </w:t>
      </w:r>
      <w:r>
        <w:rPr>
          <w:b/>
          <w:bCs/>
        </w:rPr>
        <w:t>Jeśli Licencjobiorca nabył ograniczoną czasowo licencję na korzystanie z oprogramowania lub jeśli takie oprogramowanie posiada etykietę „Nie do odsprzedaży” („Not for Resale”), wtedy przekazanie stronie trzeciej oprogramowania lub praw wynikających z niniejszej umowy licencyjnej na oprogramowanie jest niedozwolone.</w:t>
      </w:r>
    </w:p>
    <w:p w:rsidR="00431D2B" w:rsidRPr="00A16BD5" w:rsidRDefault="00431D2B" w:rsidP="00431D2B">
      <w:pPr>
        <w:pStyle w:val="Heading1"/>
        <w:widowControl w:val="0"/>
        <w:rPr>
          <w:rFonts w:eastAsia="SimSun"/>
          <w:b w:val="0"/>
        </w:rPr>
      </w:pPr>
      <w:r>
        <w:t xml:space="preserve">OGRANICZENIA EKSPORTOWE. </w:t>
      </w:r>
      <w:r>
        <w:rPr>
          <w:b w:val="0"/>
          <w:bCs w:val="0"/>
        </w:rPr>
        <w:t xml:space="preserve">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 </w:t>
      </w:r>
      <w:hyperlink r:id="rId14" w:history="1">
        <w:r>
          <w:rPr>
            <w:rStyle w:val="Hyperlink"/>
            <w:b w:val="0"/>
            <w:bCs w:val="0"/>
          </w:rPr>
          <w:t>www.microsoft.com/exporting</w:t>
        </w:r>
      </w:hyperlink>
      <w:r>
        <w:rPr>
          <w:b w:val="0"/>
          <w:bCs w:val="0"/>
        </w:rPr>
        <w:t>.</w:t>
      </w:r>
    </w:p>
    <w:p w:rsidR="005B013E" w:rsidRPr="00A16BD5" w:rsidRDefault="00431D2B" w:rsidP="00F3419D">
      <w:pPr>
        <w:pStyle w:val="Heading1"/>
        <w:widowControl w:val="0"/>
        <w:rPr>
          <w:rFonts w:eastAsia="SimSun"/>
          <w:b w:val="0"/>
          <w:bCs w:val="0"/>
          <w:u w:val="single"/>
        </w:rPr>
      </w:pPr>
      <w:r>
        <w:t xml:space="preserve">POMOC TECHNICZNA. </w:t>
      </w:r>
      <w:r>
        <w:rPr>
          <w:b w:val="0"/>
          <w:bCs w:val="0"/>
        </w:rPr>
        <w:t xml:space="preserve">Microsoft świadczy usługi pomocy technicznej do oprogramowania zgodnie z opisem znajdującym się pod adresem </w:t>
      </w:r>
      <w:hyperlink r:id="rId15" w:history="1">
        <w:r>
          <w:rPr>
            <w:rStyle w:val="Hyperlink"/>
            <w:b w:val="0"/>
          </w:rPr>
          <w:t>https://support.microsoft.com</w:t>
        </w:r>
      </w:hyperlink>
      <w:r>
        <w:rPr>
          <w:b w:val="0"/>
          <w:bCs w:val="0"/>
        </w:rPr>
        <w:t>.</w:t>
      </w:r>
    </w:p>
    <w:p w:rsidR="00431D2B" w:rsidRPr="00A16BD5" w:rsidRDefault="00431D2B" w:rsidP="00431D2B">
      <w:pPr>
        <w:pStyle w:val="Heading1"/>
        <w:widowControl w:val="0"/>
        <w:rPr>
          <w:rFonts w:eastAsia="SimSun"/>
          <w:b w:val="0"/>
        </w:rPr>
      </w:pPr>
      <w:r>
        <w:t xml:space="preserve">CAŁOŚĆ UMOWY. </w:t>
      </w:r>
      <w:r>
        <w:rPr>
          <w:b w:val="0"/>
          <w:bCs w:val="0"/>
        </w:rPr>
        <w:t>Niniejsza umowa (łącznie z zamieszczoną poniżej gwarancją) wraz ze wszelkimi postanowieniami dotyczącymi uzupełnień, aktualizacji, usług internetowych i usług pomocy technicznej stanowi całość umowy dotyczącej oprogramowania i usług pomocy technicznej.</w:t>
      </w:r>
    </w:p>
    <w:p w:rsidR="00431D2B" w:rsidRPr="00A16BD5" w:rsidRDefault="00431D2B" w:rsidP="00DE3D59">
      <w:pPr>
        <w:pStyle w:val="Heading1"/>
        <w:widowControl w:val="0"/>
        <w:rPr>
          <w:rFonts w:eastAsia="SimSun"/>
        </w:rPr>
      </w:pPr>
      <w:r>
        <w:t xml:space="preserve">PRAWO WŁAŚCIWE </w:t>
      </w:r>
      <w:r>
        <w:rPr>
          <w:b w:val="0"/>
          <w:bCs w:val="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rsidR="0050688B" w:rsidRPr="00AA6BF9" w:rsidRDefault="0050688B" w:rsidP="00DE3D59">
      <w:pPr>
        <w:pStyle w:val="Heading1"/>
        <w:widowControl w:val="0"/>
        <w:rPr>
          <w:b w:val="0"/>
        </w:rPr>
      </w:pPr>
      <w:r>
        <w:t xml:space="preserve">PRAWA KONSUMENTA — RÓŻNICE REGIONALNE. </w:t>
      </w:r>
      <w:r>
        <w:rPr>
          <w:b w:val="0"/>
        </w:rPr>
        <w:t>W niniejszej umowie zostały przedstawione niektóre z praw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Jeśli na przykład Licencjobiorca nabył oprogramowanie w jednym z poniższych regionów lub w przypadku bezwzględnego obowiązywania prawa krajowego, Licencjobiorcę obowiązują następujące postanowienia:</w:t>
      </w:r>
    </w:p>
    <w:p w:rsidR="0050688B" w:rsidRPr="00A16BD5" w:rsidRDefault="0050688B" w:rsidP="0050688B">
      <w:pPr>
        <w:pStyle w:val="Heading2"/>
        <w:numPr>
          <w:ilvl w:val="0"/>
          <w:numId w:val="24"/>
        </w:numPr>
        <w:tabs>
          <w:tab w:val="left" w:pos="720"/>
        </w:tabs>
        <w:rPr>
          <w:b w:val="0"/>
        </w:rPr>
      </w:pPr>
      <w:r>
        <w:t xml:space="preserve">Australia. </w:t>
      </w:r>
      <w:r>
        <w:rPr>
          <w:b w:val="0"/>
        </w:rPr>
        <w:t>Odniesienia do „ograniczonej rękojmi” stanowią odniesienia do wyraźnie określonej rękojmi udzielanej przez Microsoft, producenta lub osobę bądź firmę instalującą oprogramowanie. Rękojmia ta uzupełnia inne prawa i uprawnienia przysługujące Licencjobiorcy na mocy prawa, łącznie z jego prawami i uprawnieniami wynikającymi z australijskiej ustawy o ochronie konsumentów (Australian Consumer Law).</w:t>
      </w:r>
    </w:p>
    <w:p w:rsidR="0050688B" w:rsidRPr="00A16BD5" w:rsidRDefault="0050688B" w:rsidP="0050688B">
      <w:pPr>
        <w:pStyle w:val="Heading2"/>
        <w:numPr>
          <w:ilvl w:val="0"/>
          <w:numId w:val="0"/>
        </w:numPr>
        <w:tabs>
          <w:tab w:val="left" w:pos="720"/>
        </w:tabs>
        <w:ind w:left="717"/>
        <w:rPr>
          <w:b w:val="0"/>
        </w:rPr>
      </w:pPr>
      <w:r>
        <w:rPr>
          <w:b w:val="0"/>
        </w:rPr>
        <w:t>W niniejszej sekcji określenie „towary” dotyczy oprogramowania, na które Microsoft, producent lub osoba bądź firma instalująca oprogramowanie udziela wyraźnie określonej gwarancji. produkty Microsoft są objęte gwarancją, której zgodnie z obowiązującym w Australii prawem konsumenckim nie można wyłączyć.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jeżeli jakość towarów nie jest akceptowalna, a awaria nie jest równoznaczna z poważną awarią.</w:t>
      </w:r>
    </w:p>
    <w:p w:rsidR="0050688B" w:rsidRPr="00A16BD5" w:rsidRDefault="0050688B" w:rsidP="0050688B">
      <w:pPr>
        <w:pStyle w:val="Heading2"/>
        <w:numPr>
          <w:ilvl w:val="0"/>
          <w:numId w:val="24"/>
        </w:numPr>
        <w:tabs>
          <w:tab w:val="left" w:pos="720"/>
        </w:tabs>
        <w:rPr>
          <w:b w:val="0"/>
        </w:rPr>
      </w:pPr>
      <w:r>
        <w:t xml:space="preserve">Kanada. </w:t>
      </w:r>
      <w:r>
        <w:rPr>
          <w:b w:val="0"/>
        </w:rPr>
        <w:t xml:space="preserve">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w:t>
      </w:r>
      <w:r>
        <w:rPr>
          <w:b w:val="0"/>
        </w:rPr>
        <w:lastRenderedPageBreak/>
        <w:t>instalowanie aktualizacji) albo odinstalować oprogramowanie. Ewentualna dokumentacja produktu może także zawierać informacje na temat sposobu wyłączania funkcji aktualizacji w danym urządzeniu Licencjobiorcy lub w oprogramowaniu.</w:t>
      </w:r>
    </w:p>
    <w:p w:rsidR="0050688B" w:rsidRPr="00A16BD5" w:rsidRDefault="0050688B" w:rsidP="0050688B">
      <w:pPr>
        <w:pStyle w:val="Heading2"/>
        <w:numPr>
          <w:ilvl w:val="0"/>
          <w:numId w:val="24"/>
        </w:numPr>
        <w:tabs>
          <w:tab w:val="left" w:pos="720"/>
        </w:tabs>
        <w:rPr>
          <w:b w:val="0"/>
        </w:rPr>
      </w:pPr>
      <w:r>
        <w:t>Niemcy i Austria</w:t>
      </w:r>
      <w:r>
        <w:rPr>
          <w:b w:val="0"/>
        </w:rPr>
        <w:t>.</w:t>
      </w:r>
    </w:p>
    <w:p w:rsidR="0050688B" w:rsidRPr="00A16BD5" w:rsidRDefault="0050688B" w:rsidP="0050688B">
      <w:pPr>
        <w:ind w:left="717"/>
      </w:pPr>
      <w:r>
        <w:rPr>
          <w:b/>
        </w:rPr>
        <w:t>(i)</w:t>
      </w:r>
      <w:r>
        <w:tab/>
      </w:r>
      <w:r>
        <w:rPr>
          <w:b/>
        </w:rPr>
        <w:t>Rękojmia i gwarancja</w:t>
      </w:r>
      <w:r>
        <w:t>. Oprogramowanie objęte właściwą licencją będzie działać zasadniczo zgodnie z opisem znajdującym się w materiałach Microsoft towarzyszących temu oprogramowaniu. Microsoft nie udziela jednak żadnych innych umownych gwarancji dotyczących tego oprogramowania.</w:t>
      </w:r>
    </w:p>
    <w:p w:rsidR="0050688B" w:rsidRPr="00A16BD5" w:rsidRDefault="0050688B" w:rsidP="0050688B">
      <w:pPr>
        <w:ind w:left="717"/>
      </w:pPr>
      <w:r>
        <w:rPr>
          <w:b/>
        </w:rPr>
        <w:t>(ii)</w:t>
      </w:r>
      <w:r>
        <w:tab/>
      </w:r>
      <w:r>
        <w:rPr>
          <w:b/>
        </w:rPr>
        <w:t>Ograniczenie odpowiedzialności</w:t>
      </w:r>
      <w:r>
        <w:t>. W przypadku umyślnego działania, rażącego niedbalstwa, roszczeń opartych na ustawie o odpowiedzialności za produkt (Product Liability Act) oraz w przypadku śmierci lub uszczerbku na zdrowiu Microsoft ponosi odpowiedzialność zgodnie z przepisami bezwzględnie obowiązującymi.</w:t>
      </w:r>
    </w:p>
    <w:p w:rsidR="00431D2B" w:rsidRPr="00A16BD5" w:rsidRDefault="0050688B" w:rsidP="008A2696">
      <w:pPr>
        <w:pStyle w:val="Heading1"/>
        <w:numPr>
          <w:ilvl w:val="0"/>
          <w:numId w:val="0"/>
        </w:numPr>
        <w:tabs>
          <w:tab w:val="left" w:pos="720"/>
        </w:tabs>
        <w:ind w:left="717"/>
        <w:rPr>
          <w:rFonts w:eastAsia="SimSun"/>
          <w:b w:val="0"/>
        </w:rPr>
      </w:pPr>
      <w:r>
        <w:rPr>
          <w:b w:val="0"/>
        </w:rP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rsidR="00431D2B" w:rsidRPr="00A16BD5" w:rsidRDefault="00431D2B" w:rsidP="00DE3D59">
      <w:pPr>
        <w:pStyle w:val="Heading1"/>
        <w:widowControl w:val="0"/>
        <w:tabs>
          <w:tab w:val="clear" w:pos="450"/>
        </w:tabs>
        <w:rPr>
          <w:rFonts w:eastAsia="SimSun"/>
        </w:rPr>
      </w:pPr>
      <w:r>
        <w:t>OGRANICZENIE I WYŁĄCZENIE ODPOWIEDZIALNOŚCI ZA SZKODY. LICENCJOBIORCA MOŻE UZYSKAĆ ODSZKODOWANIE OD FIRMY MICROSOFT I JEJ DOSTAWCÓW TYLKO ZA SZKODY BEZPOŚREDNIE DO WYSOKOŚCI CENY OPROGRAMOWANIA. LICENCJOBIORCA NIE MOŻE DOCHODZIĆ ROSZCZEŃ Z TYTUŁU ŻADNYCH INNYCH SZKÓD, W TYM SZKÓD WYNIKAJĄCYCH Z UTRATY ZYSKÓW, SZKÓD WTÓRNYCH, SZKÓD SZCZEGÓLNYCH, SZKÓD POŚREDNICH ANI SZKÓD UBOCZNYCH.</w:t>
      </w:r>
    </w:p>
    <w:p w:rsidR="00CA6BE6" w:rsidRPr="00F75C3A" w:rsidRDefault="00CA6BE6" w:rsidP="00DE3D59">
      <w:pPr>
        <w:pStyle w:val="Heading1Unbold"/>
        <w:numPr>
          <w:ilvl w:val="0"/>
          <w:numId w:val="0"/>
        </w:numPr>
        <w:spacing w:before="120" w:after="120"/>
        <w:ind w:left="450" w:hanging="3"/>
        <w:rPr>
          <w:bCs/>
        </w:rPr>
      </w:pPr>
      <w:r>
        <w:t>Ograniczenie to ma zastosowanie w przypadku (a) 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p>
    <w:p w:rsidR="00CA6BE6" w:rsidRPr="00F6165D" w:rsidRDefault="00CA6BE6" w:rsidP="00DE3D59">
      <w:pPr>
        <w:pStyle w:val="Heading1Unbold"/>
        <w:numPr>
          <w:ilvl w:val="0"/>
          <w:numId w:val="0"/>
        </w:numPr>
        <w:spacing w:before="120" w:after="120"/>
        <w:ind w:left="450"/>
        <w:rPr>
          <w:rFonts w:eastAsia="SimSun"/>
        </w:rPr>
      </w:pPr>
      <w: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OGRANICZONA RĘKOJMIA</w:t>
      </w:r>
    </w:p>
    <w:p w:rsidR="00431D2B" w:rsidRPr="00A16BD5" w:rsidRDefault="00431D2B" w:rsidP="00431D2B">
      <w:pPr>
        <w:pStyle w:val="Heading1Warranty"/>
        <w:widowControl w:val="0"/>
        <w:rPr>
          <w:rFonts w:eastAsia="SimSun"/>
        </w:rPr>
      </w:pPr>
      <w:r>
        <w:rPr>
          <w:b/>
          <w:bCs/>
        </w:rPr>
        <w:t>OGRANICZONA RĘKOJMIA.</w:t>
      </w:r>
      <w:r>
        <w:t xml:space="preserve"> Jeśli będą Państwo postępować zgodnie z instrukcją, oprogramowanie będzie działać zasadniczo zgodnie z opisem znajdującym się w materiałach firmy Microsoft, które otrzymali Państwo w oprogramowaniu lub razem z nim.</w:t>
      </w:r>
    </w:p>
    <w:p w:rsidR="004157F7" w:rsidRPr="00A16BD5" w:rsidRDefault="004157F7" w:rsidP="00311700">
      <w:pPr>
        <w:ind w:left="360"/>
      </w:pPr>
      <w:r>
        <w:t>Odniesienia do „ograniczonej gwarancji” stanowią odniesienia do wyraźnie określonej gwarancji udzielanej przez Microsoft. Niniejsza gwarancja uzupełnia inne prawa i uprawnienia przysługujące Licencjobiorcy na mocy przepisów prawa, łącznie z jego prawami i uprawnieniami wynikającymi z ustawowych rękojmi na mocy krajowej ustawy o ochronie konsumentów.</w:t>
      </w:r>
    </w:p>
    <w:p w:rsidR="00431D2B" w:rsidRPr="00A16BD5" w:rsidRDefault="00431D2B" w:rsidP="00431D2B">
      <w:pPr>
        <w:pStyle w:val="Heading1Warranty"/>
        <w:widowControl w:val="0"/>
        <w:rPr>
          <w:rFonts w:eastAsia="SimSun"/>
          <w:bCs/>
        </w:rPr>
      </w:pPr>
      <w:r>
        <w:rPr>
          <w:b/>
          <w:bCs/>
        </w:rPr>
        <w:t>OKRES OBOWIĄZYWANIA GWARANCJI, BENEFICJENT GWARANCJI, OKRES OBOWIĄZYWANIA DOROZUMIANYCH GWARANCJI. NINIEJSZA OGRANICZONA GWARANCJA OBEJMUJE OPROGRAMOWANIE I UDZIELONA JEST NA OKRES JEDNEGO ROKU OD DNIA JEGO NABYCIA PRZEZ PIERWSZEGO UŻYTKOWNIKA. JEŚLI W CIĄGU TEGO ROKU LICENCJOBIORCA OTRZYMA UZUPEŁNIENIA, AKTUALIZACJE LUB OPROGRAMOWANIE ZASTĘPCZE, BĘDĄ ONE OBJĘTE GWARANCJĄ PRZEZ CZAS POZOSTAŁY DO JEJ WYGAŚNIĘCIA LUB PRZEZ 30 DNI, JEŚLI OKRES TEN JEST DŁUŻSZY.</w:t>
      </w:r>
      <w:r>
        <w:t xml:space="preserve"> Jeśli pierwszy użytkownik przekaże oprogramowanie osobie trzeciej, odbiorcy będzie przysługiwać gwarancja na oprogramowanie obowiązująca do czasu jej wygaśnięcia.</w:t>
      </w:r>
    </w:p>
    <w:p w:rsidR="00431D2B" w:rsidRPr="00A16BD5" w:rsidRDefault="00431D2B" w:rsidP="00431D2B">
      <w:pPr>
        <w:pStyle w:val="Body1"/>
        <w:widowControl w:val="0"/>
        <w:rPr>
          <w:rFonts w:eastAsia="SimSun"/>
        </w:rPr>
      </w:pPr>
      <w:r>
        <w:rPr>
          <w:b/>
          <w:bCs/>
        </w:rPr>
        <w:t>W ZAKRESIE DOZWOLONYM PRZEZ OBOWIĄZUJĄCE PRZEPISY PRAWA WSZELKIE UPRAWNIENIA Z TYTUŁU RĘKOJMI, GWARANCJI LUB INNYCH POSTANOWIEŃ GWARANCYJNYCH MAJĄ ZASTOSOWANIE TYLKO W OKRESIE OBOWIĄZYWANIA NINIEJSZEJ OGRANICZONEJ GWARANCJI.</w:t>
      </w:r>
      <w:r>
        <w:t xml:space="preserve"> Prawo obowiązujące w niektórych krajach nie zezwala na ograniczenie okresu obowiązywania dorozumianej rękojmi. Powyższe ograniczenia mogą zatem nie dotyczyć Licencjobiorcy. Ponadto ograniczenia te mogą nie dotyczyć Licencjobiorcy, ponieważ w niektórych krajach nie zezwala się na ograniczanie okresu obowiązywania dorozumianych rękojmi, gwarancji lub zapewnień.</w:t>
      </w:r>
    </w:p>
    <w:p w:rsidR="00431D2B" w:rsidRPr="00A16BD5" w:rsidRDefault="00431D2B" w:rsidP="00431D2B">
      <w:pPr>
        <w:pStyle w:val="Heading1Warranty"/>
        <w:widowControl w:val="0"/>
        <w:rPr>
          <w:rFonts w:eastAsia="SimSun"/>
        </w:rPr>
      </w:pPr>
      <w:r>
        <w:rPr>
          <w:b/>
          <w:bCs/>
        </w:rPr>
        <w:t>WYŁĄCZENIA GWARANCJI.</w:t>
      </w:r>
      <w:r>
        <w:t xml:space="preserve"> Niniejsza gwarancja nie obejmuje problemów spowodowanych Państwa działaniami (lub zaniechaniem działań), działaniami innych osób lub zdarzeniami będącymi poza rozsądną kontrolą Microsoft.</w:t>
      </w:r>
    </w:p>
    <w:p w:rsidR="00431D2B" w:rsidRPr="00A16BD5" w:rsidRDefault="00431D2B" w:rsidP="00431D2B">
      <w:pPr>
        <w:pStyle w:val="Heading1Warranty"/>
        <w:widowControl w:val="0"/>
        <w:rPr>
          <w:rFonts w:eastAsia="SimSun"/>
          <w:b/>
          <w:bCs/>
        </w:rPr>
      </w:pPr>
      <w:r>
        <w:rPr>
          <w:b/>
          <w:bCs/>
        </w:rPr>
        <w:t>UPRAWNIENIA Z TYTUŁU NARUSZENIA GWARANCJI. MICROSOFT BEZPŁATNIE WYMIENI ALBO NAPRAWI OPROGRAMOWANIE. JEŚLI MICROSOFT NIE BĘDZIE MÓGŁ NAPRAWIĆ ANI WYMIENIĆ OPROGRAMOWANIA, ZWRÓCI WÓWCZAS KWOTĘ WIDNIEJĄCĄ NA RACHUNKU ZA OPROGRAMOWANIE. PONADTO MICROSOFT BEZPŁATNIE NAPRAWI ALBO WYMIENI UZUPEŁNIENIA, AKTUALIZACJE I OPROGRAMOWANIE ZASTĘPCZE. JEŚLI MICROSOFT NIE BĘDZIE MÓGŁ ICH NAPRAWIĆ ANI WYMIENIĆ, ZWRÓCI LICENCJOBIORCY EWENTUALNIE ZAPŁACONĄ ZA NIE KWOTĘ. ABY OTRZYMAĆ ZWROT PIENIĘDZY, LICENCJOBIORCA MUSI ODINSTALOWAĆ OPROGRAMOWANIE I ZWRÓCIĆ MICROSOFT WSZYSTKIE NOŚNIKI WRAZ Z DOTYCZĄCYMI TEGO OPROGRAMOWANIA MATERIAŁAMI I DOWODEM NABYCIA. JEST TO JEDYNE ŚWIADCZENIE NA RZECZ LICENCJOBIORCY, KTÓRE PRZYSŁUGUJE Z TYTUŁU NARUSZENIA WARUNKÓW OGRANICZONEJ GWARANCJI.</w:t>
      </w:r>
    </w:p>
    <w:p w:rsidR="00431D2B" w:rsidRPr="00A16BD5" w:rsidRDefault="00431D2B" w:rsidP="00431D2B">
      <w:pPr>
        <w:pStyle w:val="Heading1Warranty"/>
        <w:widowControl w:val="0"/>
        <w:rPr>
          <w:rFonts w:eastAsia="SimSun"/>
          <w:b/>
          <w:bCs/>
        </w:rPr>
      </w:pPr>
      <w:r>
        <w:rPr>
          <w:b/>
          <w:bCs/>
        </w:rPr>
        <w:t>ZACHOWANIE PRAW KONSUMENTA. POSTANOWIENIA NINIEJSZEJ UMOWY NIE MOGĄ OGRANICZYĆ PRAW KONSUMENTA PRZYSŁUGUJĄCYCH LICENCJOBIORCY NA MOCY OBOWIĄZUJĄCEGO PRAWA MIEJSCOWEGO.</w:t>
      </w:r>
    </w:p>
    <w:p w:rsidR="00431D2B" w:rsidRPr="00A16BD5" w:rsidRDefault="00431D2B" w:rsidP="00431D2B">
      <w:pPr>
        <w:pStyle w:val="Heading1Warranty"/>
        <w:widowControl w:val="0"/>
        <w:rPr>
          <w:rFonts w:eastAsia="SimSun"/>
          <w:bCs/>
        </w:rPr>
      </w:pPr>
      <w:r>
        <w:rPr>
          <w:b/>
          <w:bCs/>
        </w:rPr>
        <w:t xml:space="preserve">PROCEDURY GWARANCYJNE. </w:t>
      </w:r>
      <w:r>
        <w:t>Uzyskanie dostępu do usług gwarancyjnych wymaga okazania dowodu zakupu oprogramowania.</w:t>
      </w:r>
    </w:p>
    <w:p w:rsidR="00431D2B" w:rsidRPr="00A16BD5" w:rsidRDefault="00431D2B" w:rsidP="00431D2B">
      <w:pPr>
        <w:pStyle w:val="Heading2Warranty"/>
        <w:widowControl w:val="0"/>
        <w:rPr>
          <w:rFonts w:eastAsia="SimSun"/>
        </w:rPr>
      </w:pPr>
      <w:r>
        <w:rPr>
          <w:b/>
          <w:bCs/>
        </w:rPr>
        <w:t>Stany Zjednoczone i Kanada.</w:t>
      </w:r>
      <w:r>
        <w:t xml:space="preserve"> Aby skorzystać z usługi gwarancyjnej lub uzyskać informacje na temat zwrotu pieniędzy za oprogramowanie nabyte w Stanach Zjednoczonych lub Kanadzie, należy skontaktować się z Microsoft:</w:t>
      </w:r>
    </w:p>
    <w:p w:rsidR="00431D2B" w:rsidRPr="00A16BD5" w:rsidRDefault="00431D2B" w:rsidP="001142D7">
      <w:pPr>
        <w:pStyle w:val="Bullet3"/>
        <w:widowControl w:val="0"/>
        <w:tabs>
          <w:tab w:val="clear" w:pos="1800"/>
          <w:tab w:val="num" w:pos="1170"/>
        </w:tabs>
        <w:ind w:left="1080" w:hanging="360"/>
        <w:rPr>
          <w:rFonts w:eastAsia="SimSun"/>
        </w:rPr>
      </w:pPr>
      <w:r>
        <w:t>(800) MICROSOFT;</w:t>
      </w:r>
    </w:p>
    <w:p w:rsidR="00431D2B" w:rsidRPr="00A16BD5" w:rsidRDefault="00431D2B" w:rsidP="001142D7">
      <w:pPr>
        <w:pStyle w:val="Bullet3"/>
        <w:widowControl w:val="0"/>
        <w:tabs>
          <w:tab w:val="clear" w:pos="1800"/>
          <w:tab w:val="num" w:pos="1170"/>
        </w:tabs>
        <w:ind w:left="1080" w:hanging="360"/>
        <w:rPr>
          <w:rFonts w:eastAsia="SimSun"/>
        </w:rPr>
      </w:pPr>
      <w:r>
        <w:t>pisząc na adres: Microsoft Customer Service and Support, One Microsoft Way, Redmond, WA 98052-6399, USA lub</w:t>
      </w:r>
    </w:p>
    <w:p w:rsidR="00431D2B" w:rsidRPr="00A16BD5" w:rsidRDefault="00431D2B" w:rsidP="001142D7">
      <w:pPr>
        <w:pStyle w:val="Bullet3"/>
        <w:widowControl w:val="0"/>
        <w:tabs>
          <w:tab w:val="clear" w:pos="1800"/>
          <w:tab w:val="num" w:pos="1170"/>
        </w:tabs>
        <w:ind w:left="1080" w:hanging="360"/>
        <w:rPr>
          <w:rFonts w:eastAsia="SimSun"/>
        </w:rPr>
      </w:pPr>
      <w:r>
        <w:t xml:space="preserve">odwiedzając stronę </w:t>
      </w:r>
      <w:r>
        <w:rPr>
          <w:rStyle w:val="Hyperlink"/>
          <w:color w:val="auto"/>
          <w:u w:val="none"/>
        </w:rPr>
        <w:t>(aka.ms/nareturns)</w:t>
      </w:r>
      <w:r>
        <w:t>.</w:t>
      </w:r>
    </w:p>
    <w:p w:rsidR="00431D2B" w:rsidRPr="00A16BD5" w:rsidRDefault="00431D2B" w:rsidP="00431D2B">
      <w:pPr>
        <w:pStyle w:val="Heading2Warranty"/>
        <w:widowControl w:val="0"/>
        <w:rPr>
          <w:rFonts w:eastAsia="SimSun"/>
          <w:b/>
          <w:bCs/>
        </w:rPr>
      </w:pPr>
      <w:r>
        <w:rPr>
          <w:b/>
          <w:bCs/>
        </w:rPr>
        <w:t xml:space="preserve">Europa, Bliski Wschód i Afryka. </w:t>
      </w:r>
      <w:r>
        <w:t>Jeśli Licencjobiorca nabył oprogramowanie w Europie, na Bliskim Wschodzie lub w Afryce, niniejsza ograniczona gwarancja jest udzielana przez Microsoft Ireland Operations Limited. Aby wnieść roszczenie z tytułu niniejszej gwarancji, Licencjobiorca powinien skontaktować się z:</w:t>
      </w:r>
    </w:p>
    <w:p w:rsidR="00431D2B" w:rsidRPr="00A16BD5" w:rsidRDefault="00431D2B" w:rsidP="001142D7">
      <w:pPr>
        <w:pStyle w:val="Bullet3"/>
        <w:widowControl w:val="0"/>
        <w:tabs>
          <w:tab w:val="clear" w:pos="1800"/>
          <w:tab w:val="num" w:pos="1080"/>
        </w:tabs>
        <w:ind w:left="1080" w:hanging="360"/>
        <w:rPr>
          <w:rFonts w:eastAsia="SimSun"/>
        </w:rPr>
      </w:pPr>
      <w:r>
        <w:lastRenderedPageBreak/>
        <w:t>Microsoft Ireland Operations Limited, Customer Care Centre, Atrium Building Block B, Carmanhall Road, Sandyford Industrial Estate, Dublin 18, Irlandia lub</w:t>
      </w:r>
    </w:p>
    <w:p w:rsidR="00431D2B" w:rsidRPr="00A16BD5" w:rsidRDefault="00431D2B" w:rsidP="001142D7">
      <w:pPr>
        <w:pStyle w:val="Bullet3"/>
        <w:widowControl w:val="0"/>
        <w:tabs>
          <w:tab w:val="clear" w:pos="1800"/>
          <w:tab w:val="num" w:pos="1080"/>
        </w:tabs>
        <w:ind w:left="1080" w:hanging="360"/>
        <w:rPr>
          <w:rFonts w:eastAsia="SimSun"/>
        </w:rPr>
      </w:pPr>
      <w:r>
        <w:t>podmiotem stowarzyszonym Microsoft właściwym dla kraju Licencjobiorcy (odpowiednie informacje można znaleźć na stronie aka.ms/msoffices).</w:t>
      </w:r>
    </w:p>
    <w:p w:rsidR="0058582B" w:rsidRPr="00A16BD5" w:rsidRDefault="0058582B" w:rsidP="0058582B">
      <w:pPr>
        <w:widowControl w:val="0"/>
        <w:numPr>
          <w:ilvl w:val="1"/>
          <w:numId w:val="5"/>
        </w:numPr>
        <w:outlineLvl w:val="1"/>
        <w:rPr>
          <w:rFonts w:eastAsia="SimSun"/>
        </w:rPr>
      </w:pPr>
      <w:r>
        <w:rPr>
          <w:b/>
          <w:bCs/>
        </w:rPr>
        <w:t xml:space="preserve">Australia. </w:t>
      </w:r>
      <w:r>
        <w:t>Aby skorzystać z Usług Gwarancyjnych lub wystąpić o ewentualny zwrot kosztów w związku z gwarancją (jeśli ma to zastosowanie) dla oprogramowania nabytego w Australii, należy skontaktować się z Microsoft:</w:t>
      </w:r>
    </w:p>
    <w:p w:rsidR="0058582B" w:rsidRPr="00A16BD5" w:rsidRDefault="0058582B" w:rsidP="0058582B">
      <w:pPr>
        <w:widowControl w:val="0"/>
        <w:numPr>
          <w:ilvl w:val="0"/>
          <w:numId w:val="2"/>
        </w:numPr>
        <w:tabs>
          <w:tab w:val="clear" w:pos="1800"/>
          <w:tab w:val="num" w:pos="1080"/>
        </w:tabs>
        <w:ind w:left="1077"/>
        <w:rPr>
          <w:rFonts w:eastAsia="SimSun"/>
        </w:rPr>
      </w:pPr>
      <w:r>
        <w:t>13 20 58 lub</w:t>
      </w:r>
    </w:p>
    <w:p w:rsidR="0058582B" w:rsidRPr="00A16BD5" w:rsidRDefault="0058582B" w:rsidP="001142D7">
      <w:pPr>
        <w:pStyle w:val="Bullet3"/>
        <w:widowControl w:val="0"/>
        <w:tabs>
          <w:tab w:val="clear" w:pos="1800"/>
          <w:tab w:val="num" w:pos="1080"/>
        </w:tabs>
        <w:ind w:left="1080" w:hanging="360"/>
        <w:rPr>
          <w:rFonts w:eastAsia="SimSun"/>
        </w:rPr>
      </w:pPr>
      <w:r>
        <w:t>pisząc na adres Microsoft Pty Ltd, 1 Epping Road, North Ryde NSW 2113, Australia.</w:t>
      </w:r>
    </w:p>
    <w:p w:rsidR="00431D2B" w:rsidRPr="00A16BD5" w:rsidRDefault="00431D2B" w:rsidP="00431D2B">
      <w:pPr>
        <w:pStyle w:val="Heading2Warranty"/>
        <w:widowControl w:val="0"/>
        <w:rPr>
          <w:rFonts w:eastAsia="SimSun"/>
          <w:bCs/>
        </w:rPr>
      </w:pPr>
      <w:r>
        <w:rPr>
          <w:b/>
          <w:bCs/>
        </w:rPr>
        <w:t xml:space="preserve">Poza Stanami Zjednoczonymi, Kanadą, Europą, Bliskim Wschodem, Afryką i Australią. </w:t>
      </w:r>
      <w:r>
        <w:t xml:space="preserve">W przypadku nabycia oprogramowania poza Stanami Zjednoczonymi, Kanadą, Europą, Bliskim Wschodem, Afryką i Australią Licencjobiorca powinien skontaktować się z podmiotem stowarzyszonym Microsoft właściwym dla swojego kraju (odpowiednie informacje można znaleźć na stronie </w:t>
      </w:r>
      <w:r>
        <w:rPr>
          <w:rStyle w:val="Hyperlink"/>
          <w:color w:val="auto"/>
          <w:u w:val="none"/>
        </w:rPr>
        <w:t>aka.ms/msoffices</w:t>
      </w:r>
      <w:r>
        <w:t>).</w:t>
      </w:r>
    </w:p>
    <w:p w:rsidR="00431D2B" w:rsidRPr="00A16BD5" w:rsidRDefault="00431D2B" w:rsidP="00431D2B">
      <w:pPr>
        <w:pStyle w:val="Heading1Warranty"/>
        <w:widowControl w:val="0"/>
        <w:rPr>
          <w:rFonts w:eastAsia="SimSun"/>
        </w:rPr>
      </w:pPr>
      <w:r>
        <w:rPr>
          <w:b/>
          <w:bCs/>
        </w:rPr>
        <w:t>BRAK INNYCH GWARANCJI I RĘKOJMI. OGRANICZONA GWARANCJA JEST JEDYNĄ GWARANCJĄ UDZIELANĄ PRZEZ MICROSOFT. MICROSOFT NIE UDZIELA ŻADNYCH INNYCH WYRAŹNYCH RĘKOJMI, GWARANCJI ANI ZAPEWNIEŃ. W ZAKRESIE DOZWOLONYM PRZEZ PRAWO MIEJSCOWE MICROSOFT NINIEJSZYM WYŁĄCZA DOROZUMIANE GWARANCJE Z TYTUŁU WARTOŚCI HANDLOWEJ, PRZYDATNOŚCI DO OKREŚLONEGO CELU I BRAKU NARUSZEŃ PRAW OSÓB TRZECICH.</w:t>
      </w:r>
      <w:r>
        <w:t xml:space="preserve"> Jeśli pomimo niniejszego wyłączenia Licencjobiorcy przysługują na mocy prawa miejscowego jakiekolwiek uprawnienia z tytułu dorozumianej rękojmi, gwarancji lub innych zapewnień, Licencjobiorca ma prawo do świadczeń opisanych w punkcie „Uprawnienia z tytułu naruszenia rękojmi” powyżej w zakresie dozwolonym przez obowiązujące prawo miejscowe.</w:t>
      </w:r>
    </w:p>
    <w:p w:rsidR="005F22E5" w:rsidRPr="00A16BD5" w:rsidRDefault="005F22E5" w:rsidP="00233AF8">
      <w:pPr>
        <w:ind w:left="360"/>
      </w:pPr>
      <w:r>
        <w:rPr>
          <w:b/>
        </w:rPr>
        <w:t>POSTANOWIENIE DOTYCZĄCE WYŁĄCZNIE LICENCJOBIORCÓW W AUSTRALII</w:t>
      </w:r>
      <w:r>
        <w:t xml:space="preserve">. Odniesienia do „ograniczonej gwarancji” stanowią odniesienia do gwarancji udzielanej przez Microsoft. Gwarancja ta uzupełnia inne prawa i uprawnienia przysługujące Licencjobiorcy na mocy prawa, łącznie z jego prawami i uprawnieniami wynikającymi z australijskiej ustawy o ochronie konsumentów. produkty Microsoft są objęte gwarancją, której zgodnie z obowiązującym w Australii prawem konsumenckim nie można wyłączyć.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jeżeli jakość towarów nie jest akceptowalna, a awaria nie jest równoznaczna z poważną awarią. Towary przesłane do naprawy mogą zostać zastąpione zregenerowanymi produktami tego samego typu, a nie wymienione. Zregenerowane części mogą być użyte do naprawy produktów. </w:t>
      </w:r>
    </w:p>
    <w:p w:rsidR="00431D2B" w:rsidRPr="00A16BD5" w:rsidRDefault="00431D2B" w:rsidP="00431D2B">
      <w:pPr>
        <w:pStyle w:val="Heading1Warranty"/>
        <w:widowControl w:val="0"/>
        <w:rPr>
          <w:rFonts w:eastAsia="SimSun"/>
          <w:b/>
          <w:bCs/>
        </w:rPr>
      </w:pPr>
      <w:r>
        <w:rPr>
          <w:b/>
          <w:bCs/>
        </w:rPr>
        <w:t>OGRANICZENIE I WYŁĄCZENIE ODPOWIEDZIALNOŚCI ZA SZKODY Z TYTUŁU NARUSZENIA GWARANCJI. POWYŻSZA KLAUZULA DOTYCZĄCA OGRANICZENIA I WYŁĄCZENIA ODPOWIEDZIALNOŚCI ZA SZKODY MA ZASTOSOWANIE W PRZYPADKU NARUSZENIA WARUNKÓW NINIEJSZEJ OGRANICZONEJ GWARANCJI.</w:t>
      </w:r>
    </w:p>
    <w:p w:rsidR="00D96E58" w:rsidRDefault="00431D2B" w:rsidP="00E50F1E">
      <w:pPr>
        <w:ind w:left="360"/>
        <w:rPr>
          <w:rFonts w:eastAsia="SimSun"/>
          <w:b/>
          <w:bCs/>
        </w:rPr>
      </w:pPr>
      <w:r>
        <w:rPr>
          <w:b/>
          <w:bCs/>
        </w:rPr>
        <w:t>NA MOCY NINIEJSZEJ GWARANCJI LICENCJOBIORCA OTRZYMUJE OKREŚLONE PRAWA. LICENCJOBIORCY MOGĄ TAKŻE PRZYSŁUGIWAĆ INNE UPRAWNIENIA, W ZALEŻNOŚCI OD PRAWA OBOWIĄZUJĄCEGO W DANYM STANIE. LICENCJOBIORCY MOGĄ TEŻ PRZYSŁUGIWAĆ INNE UPRAWNIENIA NA MOCY PRAWA OBOWIĄZUJĄCEGO W JEGO KRAJU.</w:t>
      </w:r>
    </w:p>
    <w:p w:rsidR="00195C56" w:rsidRDefault="00195C56" w:rsidP="00E50F1E">
      <w:pPr>
        <w:ind w:left="360"/>
        <w:rPr>
          <w:rFonts w:eastAsia="SimSun"/>
          <w:b/>
          <w:bCs/>
        </w:rPr>
      </w:pPr>
    </w:p>
    <w:p w:rsidR="00195C56" w:rsidRPr="00195C56" w:rsidRDefault="00195C56" w:rsidP="00E50F1E">
      <w:pPr>
        <w:ind w:left="360"/>
        <w:rPr>
          <w:rFonts w:eastAsia="SimSun"/>
          <w:bCs/>
        </w:rPr>
      </w:pPr>
      <w:r>
        <w:t>EULA ID: VS2017_ENT_PRO_TRIAL_RTW.2_</w:t>
      </w:r>
      <w:r w:rsidR="001D495B">
        <w:t>PLK</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495B"/>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3CAB8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pl-PL" w:eastAsia="en-US"/>
    </w:rPr>
  </w:style>
  <w:style w:type="character" w:customStyle="1" w:styleId="Body3Char">
    <w:name w:val="Body 3 Char"/>
    <w:basedOn w:val="DefaultParagraphFont"/>
    <w:uiPriority w:val="99"/>
    <w:rsid w:val="00AD0AEE"/>
    <w:rPr>
      <w:rFonts w:ascii="Tahoma" w:hAnsi="Tahoma" w:cs="Tahoma"/>
      <w:lang w:val="pl-PL"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605B-10E1-441B-87B9-E1399FB6CF2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42442</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8</Pages>
  <Words>4838</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